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shd w:val="clear" w:color="auto"/>
        <w:rPr>
          <w:rFonts w:hint="eastAsia" w:ascii="宋体" w:hAnsi="宋体" w:cs="宋体"/>
          <w:b/>
          <w:bCs/>
          <w:color w:val="auto"/>
          <w:sz w:val="36"/>
          <w:highlight w:val="none"/>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JSZC-321000-JSWC-G2026-0013</w:t>
      </w:r>
      <w:r>
        <w:rPr>
          <w:rFonts w:hint="eastAsia" w:ascii="宋体" w:hAnsi="宋体" w:cs="宋体"/>
          <w:b/>
          <w:bCs/>
          <w:color w:val="auto"/>
          <w:sz w:val="36"/>
          <w:highlight w:val="none"/>
        </w:rPr>
        <w:t xml:space="preserve">号</w:t>
      </w:r>
      <w:r/>
    </w:p>
    <w:p>
      <w:pPr>
        <w:jc w:val="right"/>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cente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shd w:val="clear" w:color="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扬州市中医院新院区C臂机采购</w:t>
      </w:r>
      <w:r>
        <w:rPr>
          <w:rFonts w:hint="eastAsia" w:ascii="宋体" w:hAnsi="宋体" w:cs="宋体"/>
          <w:b/>
          <w:bCs/>
          <w:color w:val="auto"/>
          <w:sz w:val="36"/>
          <w:highlight w:val="none"/>
          <w:lang w:eastAsia="zh-CN"/>
        </w:rPr>
        <w:t xml:space="preserve">项目</w:t>
      </w:r>
      <w:r/>
    </w:p>
    <w:p>
      <w:pPr>
        <w:jc w:val="center"/>
        <w:spacing w:line="360" w:lineRule="auto"/>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shd w:val="clear" w:color="auto"/>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jc w:val="left"/>
        <w:shd w:val="clear" w:color="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8" o:title=""/>
              </v:shape>
            </w:pict>
          </mc:Fallback>
        </mc:AlternateContent>
      </w:r>
      <w:r/>
    </w:p>
    <w:p>
      <w:pPr>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r>
      <w:r/>
    </w:p>
    <w:p>
      <w:pPr>
        <w:pStyle w:val="828"/>
        <w:shd w:val="clear" w:color="auto"/>
        <w:rPr>
          <w:color w:val="auto"/>
          <w:highlight w:val="none"/>
        </w:rPr>
      </w:pPr>
      <w:r>
        <w:rPr>
          <w:color w:val="auto"/>
          <w:highlight w:val="none"/>
        </w:rPr>
      </w:r>
      <w:r/>
    </w:p>
    <w:p>
      <w:pPr>
        <w:ind w:firstLine="1134"/>
        <w:spacing w:line="360" w:lineRule="auto"/>
        <w:shd w:val="clear" w:color="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扬州市中医院</w:t>
      </w:r>
      <w:r/>
    </w:p>
    <w:p>
      <w:pPr>
        <w:ind w:firstLine="1134"/>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3</w:t>
      </w:r>
      <w:r>
        <w:rPr>
          <w:rFonts w:hint="eastAsia" w:ascii="宋体" w:hAnsi="宋体" w:cs="宋体"/>
          <w:b/>
          <w:bCs/>
          <w:color w:val="auto"/>
          <w:sz w:val="32"/>
          <w:szCs w:val="32"/>
          <w:highlight w:val="none"/>
        </w:rPr>
        <w:t xml:space="preserve">日</w:t>
      </w:r>
      <w:r/>
    </w:p>
    <w:p>
      <w:pPr>
        <w:jc w:val="center"/>
        <w:spacing w:line="36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r>
      <w:r/>
    </w:p>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13"/>
        <w:spacing w:line="360" w:lineRule="auto"/>
        <w:shd w:val="clear" w:color="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shd w:val="clear" w:color="auto"/>
        <w:rPr>
          <w:rFonts w:hint="eastAsia"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83"/>
        <w:jc w:val="center"/>
        <w:spacing w:line="360" w:lineRule="auto"/>
        <w:shd w:val="clear" w:color="auto"/>
        <w:rPr>
          <w:rFonts w:hint="eastAsia" w:ascii="宋体" w:hAnsi="宋体" w:cs="宋体"/>
          <w:color w:val="auto"/>
          <w:sz w:val="36"/>
          <w:highlight w:val="none"/>
        </w:rPr>
      </w:pPr>
      <w:r/>
      <w:bookmarkStart w:id="1" w:name="OLE_LINK1"/>
      <w:r/>
      <w:bookmarkStart w:id="2" w:name="_Toc497133090"/>
      <w:r>
        <w:rPr>
          <w:rFonts w:hint="eastAsia" w:ascii="宋体" w:hAnsi="宋体" w:cs="宋体"/>
          <w:color w:val="auto"/>
          <w:sz w:val="36"/>
          <w:highlight w:val="none"/>
        </w:rPr>
        <w:t xml:space="preserve">第一章 招标公告</w:t>
      </w:r>
      <w:bookmarkEnd w:id="1"/>
      <w:r/>
      <w:bookmarkEnd w:id="2"/>
      <w:r/>
      <w:r/>
    </w:p>
    <w:p>
      <w:pPr>
        <w:ind w:firstLine="420"/>
        <w:spacing w:line="360" w:lineRule="auto"/>
        <w:shd w:val="clear" w:color="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扬州市中医院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扬州市中医院新院区C臂机采购项目</w:t>
      </w:r>
      <w:r>
        <w:rPr>
          <w:rFonts w:hint="eastAsia" w:ascii="宋体" w:hAnsi="宋体" w:cs="宋体"/>
          <w:color w:val="auto"/>
          <w:highlight w:val="none"/>
        </w:rPr>
        <w:t xml:space="preserve">进行公开招标采购，欢迎符合条件的供应商投标。</w:t>
      </w:r>
      <w:r/>
    </w:p>
    <w:p>
      <w:pPr>
        <w:ind w:firstLine="422"/>
        <w:spacing w:line="360" w:lineRule="auto"/>
        <w:shd w:val="clear" w:color="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shd w:val="clear" w:color="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扬州市中医院新院区C臂机采购项目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JSZC-321000-JSWC-G2026-0013</w:t>
      </w:r>
      <w:r/>
    </w:p>
    <w:p>
      <w:pPr>
        <w:ind w:firstLine="420"/>
        <w:keepLines w:val="0"/>
        <w:keepNext w:val="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扬州市中医院新院区C臂机采购项目</w:t>
      </w:r>
      <w:bookmarkStart w:id="40" w:name="_GoBack"/>
      <w:r/>
      <w:bookmarkEnd w:id="40"/>
      <w:r/>
      <w:r/>
    </w:p>
    <w:p>
      <w:pPr>
        <w:ind w:firstLine="420"/>
        <w:keepLines w:val="0"/>
        <w:keepNext w:val="0"/>
        <w:pageBreakBefore w:val="0"/>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160</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shd w:val="clear" w:color="auto"/>
        <w:rPr>
          <w:rFonts w:hint="default" w:ascii="宋体" w:hAnsi="宋体" w:cs="宋体"/>
          <w:color w:val="auto"/>
          <w:highlight w:val="none"/>
          <w:lang w:val="en-US" w:eastAsia="zh-CN"/>
        </w:rPr>
      </w:pPr>
      <w:r>
        <w:rPr>
          <w:rFonts w:hint="eastAsia" w:ascii="宋体" w:hAnsi="宋体" w:cs="宋体"/>
          <w:color w:val="auto"/>
          <w:highlight w:val="none"/>
        </w:rPr>
        <w:t xml:space="preserve">4.本项目设置最高限价：</w:t>
      </w:r>
      <w:r>
        <w:rPr>
          <w:rFonts w:hint="eastAsia" w:ascii="宋体" w:hAnsi="宋体" w:cs="宋体"/>
          <w:color w:val="auto"/>
          <w:highlight w:val="none"/>
          <w:lang w:val="en-US" w:eastAsia="zh-CN"/>
        </w:rPr>
        <w:t xml:space="preserve">包1最高限价</w:t>
      </w:r>
      <w:r>
        <w:rPr>
          <w:rFonts w:hint="eastAsia" w:ascii="宋体" w:hAnsi="宋体" w:cs="宋体"/>
          <w:color w:val="auto"/>
          <w:highlight w:val="none"/>
          <w:u w:val="single"/>
          <w:lang w:val="en-US" w:eastAsia="zh-CN"/>
        </w:rPr>
        <w:t xml:space="preserve">80</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包2最高限价</w:t>
      </w:r>
      <w:r>
        <w:rPr>
          <w:rFonts w:hint="eastAsia" w:ascii="宋体" w:hAnsi="宋体" w:cs="宋体"/>
          <w:color w:val="auto"/>
          <w:highlight w:val="none"/>
          <w:u w:val="single"/>
          <w:lang w:val="en-US" w:eastAsia="zh-CN"/>
        </w:rPr>
        <w:t xml:space="preserve">80</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投标报价高于最高限价的作废标处理。</w:t>
      </w:r>
      <w:r>
        <w:rPr>
          <w:rFonts w:hint="eastAsia" w:ascii="宋体" w:hAnsi="宋体" w:cs="宋体"/>
          <w:color w:val="auto"/>
          <w:highlight w:val="none"/>
          <w:lang w:val="en-US" w:eastAsia="zh-CN"/>
        </w:rPr>
        <w:t xml:space="preserve">投标人可对本项目多个包进行投标，但最多只能中选一个包。开标顺序：包1→包2。</w:t>
      </w:r>
      <w:r/>
    </w:p>
    <w:p>
      <w:pPr>
        <w:ind w:firstLine="420"/>
        <w:keepLines w:val="0"/>
        <w:keepNext w:val="0"/>
        <w:pageBreakBefore w:val="0"/>
        <w:spacing w:line="360" w:lineRule="auto"/>
        <w:shd w:val="clear" w:color="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详见招标文件</w:t>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6.供货期：</w:t>
      </w:r>
      <w:bookmarkStart w:id="5" w:name="_Toc38985264"/>
      <w:r>
        <w:rPr>
          <w:rFonts w:hint="eastAsia" w:ascii="宋体" w:hAnsi="宋体" w:eastAsia="宋体" w:cs="宋体"/>
          <w:b w:val="0"/>
          <w:bCs/>
          <w:i w:val="0"/>
          <w:iCs w:val="0"/>
          <w:color w:val="auto"/>
          <w:sz w:val="21"/>
          <w:szCs w:val="21"/>
          <w:highlight w:val="none"/>
          <w:u w:val="none"/>
          <w:lang w:val="zh-CN"/>
        </w:rPr>
        <w:t xml:space="preserve">签订合同后</w:t>
      </w:r>
      <w:r>
        <w:rPr>
          <w:rFonts w:hint="eastAsia" w:ascii="宋体" w:hAnsi="宋体" w:eastAsia="宋体" w:cs="宋体"/>
          <w:b w:val="0"/>
          <w:bCs/>
          <w:i w:val="0"/>
          <w:iCs w:val="0"/>
          <w:color w:val="auto"/>
          <w:sz w:val="21"/>
          <w:szCs w:val="21"/>
          <w:highlight w:val="none"/>
          <w:u w:val="none"/>
        </w:rPr>
        <w:t xml:space="preserve">30天</w:t>
      </w:r>
      <w:r>
        <w:rPr>
          <w:rFonts w:hint="eastAsia" w:ascii="宋体" w:hAnsi="宋体" w:eastAsia="宋体" w:cs="宋体"/>
          <w:b w:val="0"/>
          <w:bCs/>
          <w:i w:val="0"/>
          <w:iCs w:val="0"/>
          <w:color w:val="auto"/>
          <w:sz w:val="21"/>
          <w:szCs w:val="21"/>
          <w:highlight w:val="none"/>
          <w:u w:val="none"/>
          <w:lang w:val="zh-CN"/>
        </w:rPr>
        <w:t xml:space="preserve">内交付使用</w:t>
      </w:r>
      <w:r/>
    </w:p>
    <w:p>
      <w:pPr>
        <w:ind w:firstLine="42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360" w:lineRule="auto"/>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shd w:val="clear" w:color="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eastAsia="zh-CN"/>
        </w:rPr>
        <w:t xml:space="preserve">依法缴纳职工社会保障资金的证明材料(税务、银行或社会保险基金管理部门出具的提交投标响应文件截止时间前一年内至少一个月缴纳职工社会保障资金的缴款凭证或缴款证明)（投标人依法享受缓缴、免缴的提供证明材料）</w:t>
      </w:r>
      <w:r/>
    </w:p>
    <w:p>
      <w:pPr>
        <w:ind w:firstLine="420"/>
        <w:keepLines w:val="0"/>
        <w:keepNext w:val="0"/>
        <w:pageBreakBefore w:val="0"/>
        <w:spacing w:line="360" w:lineRule="auto"/>
        <w:shd w:val="clear" w:color="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提交投标响应文件截止时间前一年内至少一个月依法纳税的缴款凭证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shd w:val="clear" w:color="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keepLines w:val="0"/>
        <w:keepNext w:val="0"/>
        <w:pageBreakBefore w:val="0"/>
        <w:spacing w:line="360" w:lineRule="auto"/>
        <w:shd w:val="clear" w:color="auto"/>
        <w:rPr>
          <w:rFonts w:hint="eastAsia" w:ascii="宋体" w:hAnsi="宋体" w:cs="宋体"/>
          <w:bCs/>
          <w:i/>
          <w:color w:val="auto"/>
          <w:highlight w:val="none"/>
          <w:u w:val="single"/>
        </w:rPr>
      </w:pPr>
      <w:r>
        <w:rPr>
          <w:rFonts w:hint="eastAsia" w:ascii="宋体" w:hAnsi="宋体" w:cs="宋体"/>
          <w:color w:val="auto"/>
          <w:szCs w:val="21"/>
          <w:highlight w:val="none"/>
        </w:rPr>
        <w:t xml:space="preserve">2.落实政府采购政策需满足的资格要求：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keepLines w:val="0"/>
        <w:keepNext w:val="0"/>
        <w:pageBreakBefore w:val="0"/>
        <w:spacing w:line="360" w:lineRule="auto"/>
        <w:shd w:val="clear" w:color="auto"/>
        <w:rPr>
          <w:rFonts w:hint="eastAsia" w:ascii="宋体" w:hAnsi="宋体" w:cs="宋体"/>
          <w:bCs/>
          <w:i w:val="0"/>
          <w:iCs/>
          <w:color w:val="auto"/>
          <w:szCs w:val="21"/>
          <w:highlight w:val="none"/>
          <w:u w:val="non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360" w:lineRule="auto"/>
        <w:shd w:val="clear" w:color="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3.1投标人须具备有效的《医疗器械生产许可证》或《医疗器械经营许可证》或所投产品相应类别的《医疗器械经营备案凭证》</w:t>
      </w:r>
      <w:r>
        <w:rPr>
          <w:rFonts w:hint="eastAsia" w:ascii="宋体" w:hAnsi="宋体" w:cs="宋体"/>
          <w:b/>
          <w:bCs/>
          <w:i/>
          <w:iCs/>
          <w:color w:val="auto"/>
          <w:szCs w:val="21"/>
          <w:highlight w:val="none"/>
          <w:u w:val="single"/>
          <w:lang w:val="en-US" w:eastAsia="zh-CN"/>
        </w:rPr>
        <w:t xml:space="preserve">（提供证书原件扫描上传）</w:t>
      </w:r>
      <w:r>
        <w:rPr>
          <w:rFonts w:hint="eastAsia" w:ascii="宋体" w:hAnsi="宋体" w:cs="宋体"/>
          <w:i/>
          <w:iCs/>
          <w:color w:val="auto"/>
          <w:szCs w:val="21"/>
          <w:highlight w:val="none"/>
          <w:u w:val="single"/>
          <w:lang w:val="en-US" w:eastAsia="zh-CN"/>
        </w:rPr>
        <w:t xml:space="preserve">；</w:t>
      </w:r>
      <w:r/>
    </w:p>
    <w:p>
      <w:pPr>
        <w:ind w:firstLine="420"/>
        <w:keepLines w:val="0"/>
        <w:keepNext w:val="0"/>
        <w:pageBreakBefore w:val="0"/>
        <w:spacing w:line="360" w:lineRule="auto"/>
        <w:shd w:val="clear" w:color="auto"/>
        <w:rPr>
          <w:rFonts w:hint="default"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3.2投标人所投产品应具有有效的医疗器械注册证</w:t>
      </w:r>
      <w:r>
        <w:rPr>
          <w:rFonts w:hint="eastAsia" w:ascii="宋体" w:hAnsi="宋体" w:cs="宋体"/>
          <w:b/>
          <w:bCs/>
          <w:i/>
          <w:iCs/>
          <w:color w:val="auto"/>
          <w:szCs w:val="21"/>
          <w:highlight w:val="none"/>
          <w:u w:val="single"/>
          <w:lang w:val="en-US" w:eastAsia="zh-CN"/>
        </w:rPr>
        <w:t xml:space="preserve">（提供证书原件扫描上传）</w:t>
      </w:r>
      <w:r>
        <w:rPr>
          <w:rFonts w:hint="eastAsia" w:ascii="宋体" w:hAnsi="宋体" w:cs="宋体"/>
          <w:i/>
          <w:iCs/>
          <w:color w:val="auto"/>
          <w:szCs w:val="21"/>
          <w:highlight w:val="none"/>
          <w:u w:val="single"/>
          <w:lang w:val="en-US" w:eastAsia="zh-CN"/>
        </w:rPr>
        <w:t xml:space="preserve">。</w:t>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shd w:val="clear" w:color="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shd w:val="clear" w:color="auto"/>
        <w:rPr>
          <w:rFonts w:hint="eastAsia" w:ascii="宋体" w:hAnsi="宋体"/>
          <w:b w:val="0"/>
          <w:bCs w:val="0"/>
          <w:color w:val="auto"/>
          <w:sz w:val="24"/>
          <w:szCs w:val="24"/>
          <w:highlight w:val="none"/>
        </w:rPr>
      </w:pPr>
      <w:r>
        <w:rPr>
          <w:rFonts w:hint="eastAsia" w:ascii="宋体" w:hAnsi="宋体" w:cs="宋体"/>
          <w:b w:val="0"/>
          <w:bCs w:val="0"/>
          <w:color w:val="auto"/>
          <w:highlight w:val="none"/>
        </w:rPr>
        <w:t xml:space="preserve">2.获取方式：</w:t>
      </w:r>
      <w:r>
        <w:rPr>
          <w:rFonts w:hint="eastAsia" w:ascii="宋体" w:hAnsi="宋体"/>
          <w:b w:val="0"/>
          <w:bCs w:val="0"/>
          <w:color w:val="auto"/>
          <w:szCs w:val="21"/>
          <w:highlight w:val="none"/>
        </w:rPr>
        <w:t xml:space="preserve">本项目采用网上注册登记方式。</w:t>
      </w:r>
      <w:r/>
    </w:p>
    <w:p>
      <w:pPr>
        <w:ind w:firstLine="422"/>
        <w:keepLines w:val="0"/>
        <w:keepNext w:val="0"/>
        <w:pageBreakBefore w:val="0"/>
        <w:spacing w:line="360" w:lineRule="auto"/>
        <w:shd w:val="clear" w:color="auto"/>
        <w:widowControl w:val="off"/>
        <w:rPr>
          <w:rFonts w:hint="eastAsia" w:ascii="宋体" w:hAnsi="宋体" w:cs="宋体"/>
          <w:b w:val="0"/>
          <w:bCs w:val="0"/>
          <w:color w:val="auto"/>
          <w:highlight w:val="none"/>
        </w:rPr>
      </w:pPr>
      <w:r>
        <w:rPr>
          <w:rFonts w:hint="eastAsia" w:ascii="宋体" w:hAnsi="宋体" w:cs="宋体"/>
          <w:b w:val="0"/>
          <w:bCs w:val="0"/>
          <w:color w:val="auto"/>
          <w:highlight w:val="none"/>
        </w:rPr>
        <w:t xml:space="preserve">3.潜在投标人访问</w:t>
      </w:r>
      <w:r>
        <w:rPr>
          <w:rFonts w:hint="eastAsia" w:ascii="宋体" w:hAnsi="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p>
    <w:p>
      <w:pPr>
        <w:ind w:firstLine="422"/>
        <w:keepLines w:val="0"/>
        <w:keepNext w:val="0"/>
        <w:pageBreakBefore w:val="0"/>
        <w:spacing w:line="360" w:lineRule="auto"/>
        <w:shd w:val="clear" w:color="auto"/>
        <w:widowControl w:val="off"/>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shd w:val="clear" w:color="auto"/>
        <w:widowControl w:val="off"/>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shd w:val="clear" w:color="auto"/>
        <w:widowControl w:val="off"/>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（3）“CA数字证书”的办理材料以及供应商操作手册详见：http：//zfcg.yangzhou.gov.cn/zfcg/xzzx/202309/4d7de1f7865f4a2894fc22bc452f94d8.shtml。</w:t>
      </w:r>
      <w:r/>
    </w:p>
    <w:p>
      <w:pPr>
        <w:ind w:firstLine="422"/>
        <w:jc w:val="left"/>
        <w:keepLines w:val="0"/>
        <w:keepNext w:val="0"/>
        <w:pageBreakBefore w:val="0"/>
        <w:spacing w:line="360" w:lineRule="auto"/>
        <w:shd w:val="clear" w:color="auto"/>
        <w:widowControl w:val="off"/>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shd w:val="clear" w:color="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shd w:val="clear" w:color="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shd w:val="clear" w:color="auto"/>
        <w:tabs>
          <w:tab w:val="left" w:pos="266" w:leader="none"/>
        </w:tabs>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（7）苏采云系统使用谷歌浏览器参与不见面开标。</w:t>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keepLines w:val="0"/>
        <w:keepNext w:val="0"/>
        <w:pageBreakBefore w:val="0"/>
        <w:spacing w:line="360" w:lineRule="auto"/>
        <w:shd w:val="clear" w:color="auto"/>
        <w:rPr>
          <w:rFonts w:hint="eastAsia" w:ascii="宋体" w:hAnsi="宋体" w:cs="宋体"/>
          <w:bCs/>
          <w:color w:val="ff0000"/>
          <w:szCs w:val="21"/>
          <w:highlight w:val="none"/>
          <w:u w:val="single"/>
        </w:rPr>
      </w:pPr>
      <w:r>
        <w:rPr>
          <w:rFonts w:hint="eastAsia" w:ascii="宋体" w:hAnsi="宋体" w:cs="宋体"/>
          <w:color w:val="ff0000"/>
          <w:highlight w:val="none"/>
        </w:rPr>
        <w:t xml:space="preserve">1.时间：</w:t>
      </w:r>
      <w:r>
        <w:rPr>
          <w:rFonts w:hint="eastAsia" w:ascii="宋体" w:hAnsi="宋体" w:cs="宋体"/>
          <w:color w:val="ff0000"/>
          <w:szCs w:val="21"/>
          <w:highlight w:val="none"/>
          <w:u w:val="single"/>
        </w:rPr>
        <w:t xml:space="preserve">202</w:t>
      </w:r>
      <w:r>
        <w:rPr>
          <w:rFonts w:hint="eastAsia" w:ascii="宋体" w:hAnsi="宋体" w:cs="宋体"/>
          <w:color w:val="ff0000"/>
          <w:szCs w:val="21"/>
          <w:highlight w:val="none"/>
          <w:u w:val="single"/>
          <w:lang w:val="en-US" w:eastAsia="zh-CN"/>
        </w:rPr>
        <w:t xml:space="preserve">6</w:t>
      </w:r>
      <w:r>
        <w:rPr>
          <w:rFonts w:hint="eastAsia" w:ascii="宋体" w:hAnsi="宋体" w:cs="宋体"/>
          <w:color w:val="ff0000"/>
          <w:szCs w:val="21"/>
          <w:highlight w:val="none"/>
          <w:u w:val="single"/>
        </w:rPr>
        <w:t xml:space="preserve">年</w:t>
      </w:r>
      <w:r>
        <w:rPr>
          <w:rFonts w:hint="eastAsia" w:ascii="宋体" w:hAnsi="宋体" w:cs="宋体"/>
          <w:color w:val="ff0000"/>
          <w:szCs w:val="21"/>
          <w:highlight w:val="none"/>
          <w:u w:val="single"/>
          <w:lang w:val="en-US" w:eastAsia="zh-CN"/>
        </w:rPr>
        <w:t xml:space="preserve">5</w:t>
      </w:r>
      <w:r>
        <w:rPr>
          <w:rFonts w:hint="eastAsia" w:ascii="宋体" w:hAnsi="宋体" w:cs="宋体"/>
          <w:color w:val="ff0000"/>
          <w:szCs w:val="21"/>
          <w:highlight w:val="none"/>
          <w:u w:val="single"/>
        </w:rPr>
        <w:t xml:space="preserve">月</w:t>
      </w:r>
      <w:r>
        <w:rPr>
          <w:rFonts w:hint="eastAsia" w:ascii="宋体" w:hAnsi="宋体" w:cs="宋体"/>
          <w:color w:val="ff0000"/>
          <w:szCs w:val="21"/>
          <w:highlight w:val="none"/>
          <w:u w:val="single"/>
          <w:lang w:val="en-US" w:eastAsia="zh-CN"/>
        </w:rPr>
        <w:t xml:space="preserve">7</w:t>
      </w:r>
      <w:r>
        <w:rPr>
          <w:rFonts w:hint="eastAsia" w:ascii="宋体" w:hAnsi="宋体" w:cs="宋体"/>
          <w:color w:val="ff0000"/>
          <w:szCs w:val="21"/>
          <w:highlight w:val="none"/>
          <w:u w:val="single"/>
        </w:rPr>
        <w:t xml:space="preserve">日</w:t>
      </w:r>
      <w:r>
        <w:rPr>
          <w:rFonts w:hint="eastAsia" w:ascii="宋体" w:hAnsi="宋体" w:cs="宋体"/>
          <w:color w:val="ff0000"/>
          <w:szCs w:val="21"/>
          <w:highlight w:val="none"/>
          <w:u w:val="single"/>
          <w:lang w:val="en-US" w:eastAsia="zh-CN"/>
        </w:rPr>
        <w:t xml:space="preserve">14</w:t>
      </w:r>
      <w:r>
        <w:rPr>
          <w:rFonts w:hint="eastAsia" w:ascii="宋体" w:hAnsi="宋体" w:cs="宋体"/>
          <w:color w:val="ff0000"/>
          <w:szCs w:val="21"/>
          <w:highlight w:val="none"/>
          <w:u w:val="single"/>
        </w:rPr>
        <w:t xml:space="preserve">点30分</w:t>
      </w:r>
      <w:r>
        <w:rPr>
          <w:rFonts w:hint="eastAsia" w:ascii="宋体" w:hAnsi="宋体" w:cs="宋体"/>
          <w:bCs/>
          <w:color w:val="ff0000"/>
          <w:highlight w:val="none"/>
        </w:rPr>
        <w:t xml:space="preserve">（北京时间）</w:t>
      </w:r>
      <w:r/>
    </w:p>
    <w:p>
      <w:pPr>
        <w:ind w:firstLine="420"/>
        <w:keepLines w:val="0"/>
        <w:keepNext w:val="0"/>
        <w:pageBreakBefore w:val="0"/>
        <w:spacing w:line="360" w:lineRule="auto"/>
        <w:shd w:val="clear" w:color="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keepLines w:val="0"/>
        <w:keepNext w:val="0"/>
        <w:pageBreakBefore w:val="0"/>
        <w:spacing w:line="360" w:lineRule="auto"/>
        <w:shd w:val="clear" w:color="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中标供应商可凭政府采购合同办理融资贷款，详见江苏政府采购网“政采贷”专栏。</w:t>
      </w:r>
      <w:bookmarkEnd w:id="9"/>
      <w:r/>
      <w:bookmarkEnd w:id="10"/>
      <w:r/>
      <w:r/>
    </w:p>
    <w:p>
      <w:pPr>
        <w:keepLines w:val="0"/>
        <w:keepNext w:val="0"/>
        <w:pageBreakBefore w:val="0"/>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keepLines w:val="0"/>
        <w:keepNext w:val="0"/>
        <w:pageBreakBefore w:val="0"/>
        <w:spacing w:line="360" w:lineRule="auto"/>
        <w:shd w:val="clear" w:color="auto"/>
        <w:rPr>
          <w:rFonts w:hint="eastAsia" w:ascii="宋体" w:hAnsi="宋体" w:cs="宋体"/>
          <w:b w:val="0"/>
          <w:bCs w:val="0"/>
          <w:color w:val="auto"/>
          <w:szCs w:val="21"/>
          <w:highlight w:val="none"/>
        </w:rPr>
      </w:pPr>
      <w:r/>
      <w:bookmarkStart w:id="11" w:name="_Toc38985269"/>
      <w:r>
        <w:rPr>
          <w:rFonts w:hint="eastAsia" w:ascii="宋体" w:hAnsi="宋体" w:cs="宋体"/>
          <w:b w:val="0"/>
          <w:bCs w:val="0"/>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shd w:val="clear" w:color="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shd w:val="clear" w:color="auto"/>
        <w:widowControl/>
        <w:rPr>
          <w:rFonts w:hint="eastAsia" w:ascii="宋体" w:hAnsi="宋体" w:cs="宋体"/>
          <w:b w:val="0"/>
          <w:bCs w:val="0"/>
          <w:color w:val="auto"/>
          <w:szCs w:val="21"/>
          <w:highlight w:val="none"/>
        </w:rPr>
      </w:pPr>
      <w:r>
        <w:rPr>
          <w:rFonts w:ascii="宋体" w:hAnsi="宋体" w:cs="宋体"/>
          <w:b w:val="0"/>
          <w:bCs w:val="0"/>
          <w:color w:val="auto"/>
          <w:szCs w:val="21"/>
          <w:highlight w:val="none"/>
        </w:rPr>
        <w:t xml:space="preserve">3</w:t>
      </w:r>
      <w:r>
        <w:rPr>
          <w:rFonts w:hint="eastAsia" w:ascii="宋体" w:hAnsi="宋体" w:cs="宋体"/>
          <w:b w:val="0"/>
          <w:bCs w:val="0"/>
          <w:color w:val="auto"/>
          <w:szCs w:val="21"/>
          <w:highlight w:val="none"/>
        </w:rPr>
        <w:t xml:space="preserve">.严格执行政府采购关于支持节能</w:t>
      </w:r>
      <w:r>
        <w:rPr>
          <w:rFonts w:hint="eastAsia" w:ascii="宋体" w:hAnsi="宋体" w:cs="宋体"/>
          <w:b w:val="0"/>
          <w:bCs w:val="0"/>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shd w:val="clear" w:color="auto"/>
        <w:widowControl/>
        <w:rPr>
          <w:b w:val="0"/>
          <w:bCs w:val="0"/>
          <w:color w:val="auto"/>
          <w:highlight w:val="none"/>
        </w:rPr>
      </w:pPr>
      <w:r>
        <w:rPr>
          <w:rFonts w:ascii="宋体" w:hAnsi="宋体" w:cs="宋体"/>
          <w:b w:val="0"/>
          <w:bCs w:val="0"/>
          <w:color w:val="auto"/>
          <w:szCs w:val="21"/>
          <w:highlight w:val="none"/>
        </w:rPr>
        <w:t xml:space="preserve">4</w:t>
      </w:r>
      <w:r>
        <w:rPr>
          <w:rFonts w:hint="eastAsia" w:ascii="宋体" w:hAnsi="宋体" w:cs="宋体"/>
          <w:b w:val="0"/>
          <w:bCs w:val="0"/>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shd w:val="clear" w:color="auto"/>
        <w:widowControl/>
        <w:rPr>
          <w:rFonts w:hint="eastAsia" w:ascii="宋体" w:hAnsi="宋体" w:cs="宋体"/>
          <w:b w:val="0"/>
          <w:bCs w:val="0"/>
          <w:color w:val="auto"/>
          <w:szCs w:val="21"/>
          <w:highlight w:val="none"/>
        </w:rPr>
      </w:pPr>
      <w:r>
        <w:rPr>
          <w:rFonts w:ascii="宋体" w:hAnsi="宋体" w:cs="宋体"/>
          <w:b w:val="0"/>
          <w:bCs w:val="0"/>
          <w:color w:val="auto"/>
          <w:szCs w:val="21"/>
          <w:highlight w:val="none"/>
        </w:rPr>
        <w:t xml:space="preserve">5</w:t>
      </w:r>
      <w:r>
        <w:rPr>
          <w:rFonts w:hint="eastAsia" w:ascii="宋体" w:hAnsi="宋体" w:cs="宋体"/>
          <w:b w:val="0"/>
          <w:bCs w:val="0"/>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shd w:val="clear" w:color="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shd w:val="clear" w:color="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keepLines w:val="0"/>
        <w:keepNext w:val="0"/>
        <w:pageBreakBefore w:val="0"/>
        <w:spacing w:line="360" w:lineRule="auto"/>
        <w:shd w:val="clear" w:color="auto"/>
        <w:rPr>
          <w:rFonts w:hint="eastAsia" w:ascii="宋体" w:hAnsi="宋体" w:eastAsia="宋体" w:cs="宋体"/>
          <w:b/>
          <w:bCs/>
          <w:i/>
          <w:color w:val="auto"/>
          <w:szCs w:val="21"/>
          <w:highlight w:val="none"/>
          <w:u w:val="single"/>
          <w:lang w:eastAsia="zh-CN"/>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rPr>
          <w:rFonts w:hint="eastAsia" w:ascii="宋体" w:hAnsi="宋体" w:cs="宋体"/>
          <w:b/>
          <w:bCs/>
          <w:i/>
          <w:color w:val="auto"/>
          <w:szCs w:val="21"/>
          <w:highlight w:val="none"/>
          <w:u w:val="single"/>
          <w:lang w:eastAsia="zh-CN"/>
        </w:rPr>
        <w:t xml:space="preserve">。</w:t>
      </w:r>
      <w:r/>
    </w:p>
    <w:p>
      <w:pPr>
        <w:ind w:firstLine="420"/>
        <w:jc w:val="left"/>
        <w:keepLines w:val="0"/>
        <w:keepNext w:val="0"/>
        <w:pageBreakBefore w:val="0"/>
        <w:spacing w:line="360" w:lineRule="auto"/>
        <w:shd w:val="clear" w:color="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keepLines w:val="0"/>
        <w:keepNext w:val="0"/>
        <w:pageBreakBefore w:val="0"/>
        <w:spacing w:line="360" w:lineRule="auto"/>
        <w:shd w:val="clear" w:color="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keepLines w:val="0"/>
        <w:keepNext w:val="0"/>
        <w:pageBreakBefore w:val="0"/>
        <w:spacing w:line="360" w:lineRule="auto"/>
        <w:shd w:val="clear" w:color="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50"/>
        <w:ind w:firstLine="420"/>
        <w:jc w:val="left"/>
        <w:keepLines w:val="0"/>
        <w:keepNext w:val="0"/>
        <w:pageBreakBefore w:val="0"/>
        <w:spacing w:line="360" w:lineRule="auto"/>
        <w:shd w:val="clear" w:color="auto"/>
        <w:rPr>
          <w:rFonts w:hint="eastAsia" w:ascii="宋体" w:hAnsi="宋体" w:eastAsia="宋体" w:cs="宋体"/>
          <w:color w:val="auto"/>
          <w:szCs w:val="21"/>
          <w:highlight w:val="none"/>
          <w:lang w:eastAsia="zh-CN"/>
        </w:rPr>
      </w:pPr>
      <w:r/>
      <w:bookmarkStart w:id="12" w:name="_Toc28359086"/>
      <w:r/>
      <w:bookmarkStart w:id="13" w:name="_Toc28359009"/>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扬州市中医院</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keepLines w:val="0"/>
        <w:keepNext w:val="0"/>
        <w:pageBreakBefore w:val="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联系方式：0514-87930563</w:t>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址：扬州市维扬路106-1#扬州商城国际大厦19F1922室</w:t>
      </w:r>
      <w:r/>
    </w:p>
    <w:p>
      <w:pPr>
        <w:ind w:firstLine="420"/>
        <w:jc w:val="left"/>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keepLines w:val="0"/>
        <w:keepNext w:val="0"/>
        <w:pageBreakBefore w:val="0"/>
        <w:spacing w:line="360" w:lineRule="auto"/>
        <w:shd w:val="clear" w:color="auto"/>
        <w:rPr>
          <w:rFonts w:hint="eastAsia"/>
          <w:color w:val="auto"/>
          <w:highlight w:val="none"/>
        </w:rPr>
      </w:pPr>
      <w:r>
        <w:rPr>
          <w:rFonts w:hint="eastAsia" w:ascii="宋体" w:hAnsi="宋体" w:cs="宋体"/>
          <w:color w:val="auto"/>
          <w:highlight w:val="none"/>
        </w:rPr>
        <w:t xml:space="preserve">联系方式：18652401357</w:t>
      </w:r>
      <w:r/>
    </w:p>
    <w:p>
      <w:pPr>
        <w:pStyle w:val="783"/>
        <w:jc w:val="center"/>
        <w:spacing w:line="240" w:lineRule="auto"/>
        <w:shd w:val="clear" w:color="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440" w:lineRule="exact"/>
        <w:shd w:val="clear" w:color="auto"/>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JSZC-321000-JSWC-G2026-0013</w:t>
      </w:r>
      <w:r>
        <w:rPr>
          <w:rFonts w:hint="eastAsia" w:ascii="宋体" w:hAnsi="宋体"/>
          <w:bCs/>
          <w:color w:val="auto"/>
          <w:szCs w:val="21"/>
          <w:highlight w:val="none"/>
        </w:rPr>
        <w:t xml:space="preserve">号项目。</w:t>
      </w:r>
      <w:r/>
    </w:p>
    <w:p>
      <w:pPr>
        <w:ind w:firstLine="422"/>
        <w:spacing w:line="44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4.2本次采购由中标人在领取中标通知书前分别根据国家计委印发的《招标代理服务收费管理暂行办法》(计价格【2002】1980号文)货物类*</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0%标准一次性支付给代理机构代理服务费。 </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440" w:lineRule="exact"/>
        <w:shd w:val="clear" w:color="auto"/>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firstLine="422"/>
        <w:spacing w:line="44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shd w:val="clear" w:color="auto"/>
        <w:rPr>
          <w:rFonts w:hint="eastAsia" w:ascii="宋体" w:hAnsi="宋体"/>
          <w:b/>
          <w:color w:val="auto"/>
          <w:szCs w:val="21"/>
          <w:highlight w:val="none"/>
        </w:rPr>
      </w:pPr>
      <w:r/>
      <w:bookmarkStart w:id="15" w:name="_Toc20823297"/>
      <w:r/>
      <w:bookmarkStart w:id="16" w:name="_Toc513029225"/>
      <w:r/>
      <w:bookmarkStart w:id="17" w:name="_Toc16938541"/>
      <w:r/>
      <w:bookmarkStart w:id="18" w:name="_Toc462564084"/>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16938542"/>
      <w:r/>
      <w:bookmarkStart w:id="20" w:name="_Toc20823298"/>
      <w:r/>
      <w:bookmarkStart w:id="21" w:name="_Toc513029226"/>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shd w:val="clear" w:color="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shd w:val="clear" w:color="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shd w:val="clear" w:color="auto"/>
        <w:rPr>
          <w:rFonts w:hint="eastAsia" w:ascii="宋体" w:hAnsi="宋体"/>
          <w:b/>
          <w:color w:val="auto"/>
          <w:szCs w:val="21"/>
          <w:highlight w:val="none"/>
        </w:rPr>
      </w:pPr>
      <w:r/>
      <w:bookmarkStart w:id="22" w:name="_Toc16938543"/>
      <w:r/>
      <w:bookmarkStart w:id="23" w:name="_Toc20823299"/>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shd w:val="clear" w:color="auto"/>
        <w:rPr>
          <w:rFonts w:hint="eastAsia" w:ascii="宋体" w:hAnsi="宋体"/>
          <w:b/>
          <w:color w:val="auto"/>
          <w:szCs w:val="21"/>
          <w:highlight w:val="none"/>
        </w:rPr>
      </w:pPr>
      <w:r/>
      <w:bookmarkStart w:id="25" w:name="_Toc20823300"/>
      <w:r/>
      <w:bookmarkStart w:id="26" w:name="_Toc16938544"/>
      <w:r/>
      <w:bookmarkStart w:id="27" w:name="_Toc513029228"/>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keepLines w:val="0"/>
        <w:keepNext w:val="0"/>
        <w:pageBreakBefore w:val="0"/>
        <w:spacing w:line="360" w:lineRule="auto"/>
        <w:shd w:val="clear" w:color="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shd w:val="clear" w:color="auto"/>
        <w:widowControl w:val="off"/>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shd w:val="clear" w:color="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2"/>
        <w:spacing w:line="85" w:lineRule="atLeast"/>
        <w:shd w:val="clear" w:color="auto"/>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26.1.10 异常低价投标（响应）</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26.1.10.1投标（响应）报价低于全部通过符合性审查供应商投标（响应）报价平均值50%的，即投标（响应）报价&lt;全部通过符合性审查供应商投标（响应）报价平均值×50%；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26.1.10.2投标（响应）报价低于通过符合性审查的次低报价供应商投标（响应）报价50%的，即投标（响应）报价&lt;通过符合性审查的次低报价供应商投标（响应）报价×50%；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26.1.10.3投标（响应）报价低于采购项目最高限价45%的，即投标（响应）报价&lt;采购项目最高限价×45%； </w:t>
      </w:r>
      <w:r/>
    </w:p>
    <w:p>
      <w:pPr>
        <w:ind w:firstLine="420"/>
        <w:spacing w:line="360" w:lineRule="auto"/>
        <w:shd w:val="clear" w:color="auto"/>
        <w:rPr>
          <w:color w:val="auto"/>
          <w:highlight w:val="none"/>
        </w:rPr>
      </w:pPr>
      <w:r>
        <w:rPr>
          <w:rFonts w:hint="eastAsia" w:ascii="宋体" w:hAnsi="宋体"/>
          <w:bCs/>
          <w:color w:val="auto"/>
          <w:szCs w:val="21"/>
          <w:highlight w:val="none"/>
        </w:rPr>
        <w:t xml:space="preserve">26.1.10.4 评审委员会认定的供应商报价过低、有可能影响产品质量或者不能诚信履约的其他情形。</w:t>
      </w:r>
      <w:r/>
    </w:p>
    <w:p>
      <w:pPr>
        <w:ind w:firstLine="420"/>
        <w:spacing w:line="360" w:lineRule="auto"/>
        <w:shd w:val="clear" w:color="auto"/>
        <w:rPr>
          <w:rFonts w:hint="eastAsia" w:ascii="宋体" w:hAnsi="宋体"/>
          <w:color w:val="auto"/>
          <w:highlight w:val="none"/>
        </w:rPr>
      </w:pPr>
      <w:r>
        <w:rPr>
          <w:rFonts w:hint="eastAsia" w:ascii="宋体" w:hAnsi="宋体"/>
          <w:bCs/>
          <w:color w:val="auto"/>
          <w:szCs w:val="21"/>
          <w:highlight w:val="none"/>
        </w:rPr>
        <w:t xml:space="preserve">26.1.10.5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83"/>
        <w:jc w:val="center"/>
        <w:shd w:val="clear" w:color="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05"/>
        <w:ind w:firstLine="420"/>
        <w:spacing w:line="360" w:lineRule="auto"/>
        <w:shd w:val="clear" w:color="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05"/>
        <w:shd w:val="clear" w:color="auto"/>
        <w:rPr>
          <w:rFonts w:hint="eastAsia" w:hAnsi="宋体" w:cs="宋体"/>
          <w:color w:val="auto"/>
          <w:highlight w:val="none"/>
        </w:rPr>
      </w:pPr>
      <w:r>
        <w:rPr>
          <w:rFonts w:hint="eastAsia" w:hAnsi="宋体" w:cs="宋体"/>
          <w:color w:val="auto"/>
          <w:highlight w:val="none"/>
        </w:rPr>
      </w:r>
      <w:r/>
    </w:p>
    <w:p>
      <w:pPr>
        <w:pStyle w:val="805"/>
        <w:ind w:firstLine="422"/>
        <w:jc w:val="center"/>
        <w:spacing w:before="120" w:after="120" w:line="360" w:lineRule="auto"/>
        <w:shd w:val="clear" w:color="auto"/>
        <w:rPr>
          <w:rFonts w:hint="eastAsia" w:hAnsi="宋体"/>
          <w:b/>
          <w:bCs/>
          <w:color w:val="auto"/>
          <w:sz w:val="21"/>
          <w:highlight w:val="none"/>
        </w:rPr>
      </w:pPr>
      <w:r>
        <w:rPr>
          <w:rFonts w:hint="eastAsia" w:hAnsi="宋体"/>
          <w:b/>
          <w:bCs/>
          <w:color w:val="auto"/>
          <w:sz w:val="21"/>
          <w:highlight w:val="none"/>
        </w:rPr>
        <w:t xml:space="preserve">扬州市政府采购合同</w:t>
      </w:r>
      <w:r>
        <w:rPr>
          <w:rFonts w:hAnsi="宋体"/>
          <w:b/>
          <w:bCs/>
          <w:color w:val="auto"/>
          <w:sz w:val="21"/>
          <w:highlight w:val="none"/>
        </w:rPr>
        <w:t xml:space="preserve">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扬州市中医院新院区C臂机采购项目</w:t>
      </w:r>
      <w:r>
        <w:rPr>
          <w:rFonts w:hint="eastAsia" w:hAnsi="宋体" w:cs="宋体"/>
          <w:color w:val="auto"/>
          <w:sz w:val="21"/>
          <w:highlight w:val="none"/>
        </w:rPr>
        <w:t xml:space="preserve">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lang w:eastAsia="zh-CN"/>
        </w:rPr>
        <w:t xml:space="preserve">JSZC-321000-JSWC-G2026-0013</w:t>
      </w:r>
      <w:r>
        <w:rPr>
          <w:rFonts w:hint="eastAsia" w:hAnsi="宋体" w:cs="宋体"/>
          <w:color w:val="auto"/>
          <w:sz w:val="21"/>
          <w:highlight w:val="none"/>
        </w:rPr>
        <w:t xml:space="preserve">号</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05"/>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05"/>
        <w:ind w:firstLine="420"/>
        <w:spacing w:before="120" w:after="120" w:line="360" w:lineRule="auto"/>
        <w:shd w:val="clear" w:color="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05"/>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805"/>
        <w:ind w:left="315" w:firstLine="1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2.1 本合同金额为（大写）：________元人民币（¥_____元）。</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05"/>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05"/>
        <w:ind w:left="315" w:firstLine="1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05"/>
        <w:ind w:left="315" w:firstLine="1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05"/>
        <w:ind w:left="359" w:hanging="359"/>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05"/>
        <w:ind w:left="359" w:hanging="359"/>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805"/>
        <w:ind w:left="359" w:hanging="359"/>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805"/>
        <w:ind w:left="359" w:hanging="359"/>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05"/>
        <w:ind w:firstLine="422"/>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本项目不收取履约保证金。</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805"/>
        <w:ind w:firstLine="420"/>
        <w:spacing w:before="120" w:after="120" w:line="360" w:lineRule="auto"/>
        <w:shd w:val="clear" w:color="auto"/>
        <w:rPr>
          <w:rFonts w:hint="eastAsia"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5</w:t>
      </w:r>
      <w:r>
        <w:rPr>
          <w:rFonts w:hint="eastAsia" w:hAnsi="宋体" w:cs="宋体"/>
          <w:bCs/>
          <w:color w:val="auto"/>
          <w:sz w:val="21"/>
          <w:highlight w:val="none"/>
          <w:u w:val="single"/>
        </w:rPr>
        <w:t xml:space="preserve">年</w:t>
      </w:r>
      <w:r>
        <w:rPr>
          <w:rFonts w:hint="eastAsia" w:hAnsi="宋体" w:cs="宋体"/>
          <w:bCs/>
          <w:color w:val="auto"/>
          <w:sz w:val="21"/>
          <w:highlight w:val="none"/>
        </w:rPr>
        <w:t xml:space="preserve">。（自交货验收合格之日起计）。</w:t>
      </w:r>
      <w:r/>
    </w:p>
    <w:p>
      <w:pPr>
        <w:pStyle w:val="805"/>
        <w:ind w:firstLine="420"/>
        <w:spacing w:before="120" w:after="120" w:line="360" w:lineRule="auto"/>
        <w:shd w:val="clear" w:color="auto"/>
        <w:rPr>
          <w:rFonts w:hint="eastAsia"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9.1 交货期：自合同签订之日起</w:t>
      </w:r>
      <w:r>
        <w:rPr>
          <w:rFonts w:hint="eastAsia" w:ascii="宋体" w:hAnsi="宋体" w:cs="宋体"/>
          <w:bCs/>
          <w:color w:val="auto"/>
          <w:highlight w:val="none"/>
          <w:lang w:val="en-US" w:eastAsia="zh-CN"/>
        </w:rPr>
        <w:t xml:space="preserve">30</w:t>
      </w:r>
      <w:r>
        <w:rPr>
          <w:rFonts w:hint="eastAsia" w:ascii="宋体" w:hAnsi="宋体" w:cs="宋体"/>
          <w:bCs/>
          <w:color w:val="auto"/>
          <w:highlight w:val="none"/>
        </w:rPr>
        <w:t xml:space="preserve">日内供货。</w:t>
      </w:r>
      <w:r/>
    </w:p>
    <w:p>
      <w:pPr>
        <w:ind w:firstLine="420"/>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9.2 交货方式：甲方指定方式</w:t>
      </w:r>
      <w:r/>
    </w:p>
    <w:p>
      <w:pPr>
        <w:pStyle w:val="805"/>
        <w:ind w:firstLine="420"/>
        <w:spacing w:before="120" w:after="120" w:line="360" w:lineRule="auto"/>
        <w:shd w:val="clear" w:color="auto"/>
        <w:rPr>
          <w:rFonts w:hint="eastAsia" w:hAnsi="宋体" w:cs="宋体"/>
          <w:bCs/>
          <w:color w:val="auto"/>
          <w:sz w:val="21"/>
          <w:highlight w:val="none"/>
        </w:rPr>
      </w:pPr>
      <w:r>
        <w:rPr>
          <w:rFonts w:hint="eastAsia" w:hAnsi="宋体" w:cs="宋体"/>
          <w:bCs/>
          <w:color w:val="auto"/>
          <w:sz w:val="21"/>
          <w:highlight w:val="none"/>
        </w:rPr>
        <w:t xml:space="preserve">9.3 交货地点：甲方指定地点</w:t>
      </w:r>
      <w:r/>
    </w:p>
    <w:p>
      <w:pPr>
        <w:pStyle w:val="805"/>
        <w:ind w:firstLine="420"/>
        <w:spacing w:before="120" w:after="120" w:line="360" w:lineRule="auto"/>
        <w:shd w:val="clear" w:color="auto"/>
        <w:rPr>
          <w:rFonts w:hint="eastAsia" w:hAnsi="宋体" w:cs="宋体"/>
          <w:b/>
          <w:color w:val="auto"/>
          <w:sz w:val="21"/>
          <w:highlight w:val="none"/>
        </w:rPr>
      </w:pPr>
      <w:r>
        <w:rPr>
          <w:rFonts w:hint="eastAsia" w:hAnsi="宋体" w:cs="宋体"/>
          <w:b/>
          <w:color w:val="auto"/>
          <w:sz w:val="21"/>
          <w:highlight w:val="none"/>
        </w:rPr>
        <w:t xml:space="preserve">10、货款支付</w:t>
      </w:r>
      <w:r/>
    </w:p>
    <w:p>
      <w:pPr>
        <w:pStyle w:val="805"/>
        <w:ind w:firstLine="420"/>
        <w:spacing w:before="120" w:after="120" w:line="360" w:lineRule="auto"/>
        <w:shd w:val="clear" w:color="auto"/>
        <w:rPr>
          <w:rFonts w:hint="eastAsia"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05"/>
        <w:ind w:firstLine="420"/>
        <w:spacing w:before="120" w:after="120" w:line="360" w:lineRule="auto"/>
        <w:shd w:val="clear" w:color="auto"/>
        <w:rPr>
          <w:rFonts w:hint="eastAsia"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05"/>
        <w:ind w:firstLine="420"/>
        <w:spacing w:before="120" w:after="120" w:line="360" w:lineRule="auto"/>
        <w:shd w:val="clear" w:color="auto"/>
        <w:rPr>
          <w:rFonts w:hint="eastAsia" w:ascii="宋体" w:hAnsi="宋体" w:eastAsia="宋体" w:cs="宋体"/>
          <w:b w:val="0"/>
          <w:bCs w:val="0"/>
          <w:color w:val="auto"/>
          <w:sz w:val="21"/>
          <w:szCs w:val="21"/>
          <w:highlight w:val="none"/>
        </w:rPr>
      </w:pPr>
      <w:r>
        <w:rPr>
          <w:rFonts w:hint="eastAsia" w:hAnsi="宋体" w:cs="宋体"/>
          <w:bCs/>
          <w:color w:val="auto"/>
          <w:sz w:val="21"/>
          <w:szCs w:val="21"/>
          <w:highlight w:val="none"/>
        </w:rPr>
        <w:t xml:space="preserve">10.3 付款方式：</w:t>
      </w:r>
      <w:r>
        <w:rPr>
          <w:rFonts w:hint="eastAsia" w:ascii="宋体" w:hAnsi="宋体" w:cs="宋体"/>
          <w:color w:val="auto"/>
          <w:sz w:val="21"/>
          <w:szCs w:val="21"/>
          <w:highlight w:val="none"/>
        </w:rPr>
        <w:t xml:space="preserve">鉴于为甲方新院区项目，合同签订完成，并接甲方通知后，乙方安排发货事宜，并应在约定时间内完成供货。收到乙方发票后10个工作日内甲方支付合同总额的30%；货到验收合格，收到乙方发票后10个工作日内甲方支付合同总额的60%，验收合格满一年，收到乙方发票后10个工作日内甲方付清剩余10%。（如为中小微企业中标，付款方式为合同签订前乙方提供合同金额10%的履约保证金，甲方自收到</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发票并验收合格之日起60日内付清全款）</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805"/>
        <w:ind w:firstLine="420"/>
        <w:spacing w:before="120" w:after="120" w:line="360" w:lineRule="auto"/>
        <w:shd w:val="clear" w:color="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shd w:val="clear" w:color="auto"/>
        <w:rPr>
          <w:rFonts w:hint="eastAsia"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05"/>
        <w:ind w:firstLine="31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05"/>
        <w:ind w:left="420" w:hanging="1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05"/>
        <w:ind w:left="315" w:firstLine="105"/>
        <w:spacing w:before="120" w:after="120" w:line="360" w:lineRule="auto"/>
        <w:shd w:val="clear" w:color="auto"/>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05"/>
        <w:ind w:firstLine="420"/>
        <w:spacing w:before="120" w:after="120" w:line="360" w:lineRule="auto"/>
        <w:shd w:val="clear" w:color="auto"/>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805"/>
        <w:ind w:firstLine="420"/>
        <w:spacing w:before="120" w:after="120" w:line="360" w:lineRule="auto"/>
        <w:shd w:val="clear" w:color="auto"/>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05"/>
        <w:ind w:firstLine="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18.3 本合同正本一式伍份，具有同等法律效力，甲方、乙方各执贰份、见证方执壹份。</w:t>
      </w:r>
      <w:r/>
    </w:p>
    <w:p>
      <w:pPr>
        <w:pStyle w:val="805"/>
        <w:ind w:left="420" w:hanging="42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w:t>
      </w:r>
      <w:r/>
    </w:p>
    <w:p>
      <w:pPr>
        <w:pStyle w:val="805"/>
        <w:ind w:left="420" w:hanging="21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805"/>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  </w:t>
      </w:r>
      <w:r/>
    </w:p>
    <w:p>
      <w:pPr>
        <w:pStyle w:val="805"/>
        <w:ind w:firstLine="21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05"/>
        <w:ind w:firstLine="210"/>
        <w:spacing w:before="120" w:after="120" w:line="360" w:lineRule="auto"/>
        <w:shd w:val="clear" w:color="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805"/>
        <w:ind w:firstLine="210"/>
        <w:spacing w:before="120" w:after="120" w:line="360" w:lineRule="auto"/>
        <w:shd w:val="clear" w:color="auto"/>
        <w:rPr>
          <w:rFonts w:hint="eastAsia" w:hAnsi="宋体"/>
          <w:color w:val="auto"/>
          <w:sz w:val="21"/>
          <w:highlight w:val="none"/>
        </w:rPr>
      </w:pPr>
      <w:r>
        <w:rPr>
          <w:rFonts w:hint="eastAsia" w:hAnsi="宋体" w:cs="宋体"/>
          <w:color w:val="auto"/>
          <w:sz w:val="21"/>
          <w:highlight w:val="none"/>
        </w:rPr>
        <w:t xml:space="preserve">日期：     年   月   日</w:t>
      </w:r>
      <w:r/>
    </w:p>
    <w:p>
      <w:pPr>
        <w:pStyle w:val="783"/>
        <w:numPr>
          <w:ilvl w:val="0"/>
          <w:numId w:val="7"/>
        </w:numPr>
        <w:jc w:val="center"/>
        <w:shd w:val="clear" w:color="auto"/>
        <w:rPr>
          <w:rFonts w:hint="eastAsia" w:ascii="宋体" w:hAnsi="宋体"/>
          <w:color w:val="auto"/>
          <w:sz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6"/>
          <w:highlight w:val="none"/>
        </w:rPr>
      </w:r>
      <w:r/>
    </w:p>
    <w:p>
      <w:pPr>
        <w:pStyle w:val="783"/>
        <w:numPr>
          <w:ilvl w:val="0"/>
          <w:numId w:val="7"/>
        </w:numPr>
        <w:jc w:val="center"/>
        <w:spacing w:line="240" w:lineRule="auto"/>
        <w:shd w:val="clear" w:color="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0"/>
        <w:jc w:val="left"/>
        <w:spacing w:line="440" w:lineRule="exact"/>
        <w:shd w:val="clear" w:color="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shd w:val="clear" w:color="auto"/>
        <w:rPr>
          <w:rFonts w:hint="eastAsia" w:ascii="宋体" w:hAnsi="宋体" w:eastAsia="宋体" w:cs="宋体"/>
          <w:b/>
          <w:bCs/>
          <w:color w:val="auto"/>
          <w:sz w:val="21"/>
          <w:szCs w:val="21"/>
          <w:highlight w:val="none"/>
          <w:lang w:val="en-US" w:eastAsia="zh-CN"/>
        </w:rPr>
        <w:outlineLvl w:val="0"/>
      </w:pPr>
      <w:r/>
      <w:bookmarkStart w:id="29" w:name="_Toc497133122"/>
      <w:r/>
      <w:r/>
    </w:p>
    <w:p>
      <w:pPr>
        <w:shd w:val="clear" w:color="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r>
      <w:r/>
    </w:p>
    <w:p>
      <w:pPr>
        <w:shd w:val="clear" w:color="auto"/>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采购包1：</w:t>
      </w:r>
      <w:r/>
    </w:p>
    <w:p>
      <w:pP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一、货物需求一览表</w:t>
      </w:r>
      <w:r/>
    </w:p>
    <w:tbl>
      <w:tblPr>
        <w:tblStyle w:val="79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2763"/>
        <w:gridCol w:w="850"/>
        <w:gridCol w:w="811"/>
        <w:gridCol w:w="3764"/>
      </w:tblGrid>
      <w:tr>
        <w:trPr>
          <w:jc w:val="center"/>
          <w:trHeight w:val="454"/>
        </w:trPr>
        <w:tc>
          <w:tcPr>
            <w:shd w:val="clear" w:color="auto" w:fill="auto"/>
            <w:tcMar>
              <w:left w:w="15" w:type="dxa"/>
              <w:top w:w="15" w:type="dxa"/>
              <w:right w:w="15" w:type="dxa"/>
            </w:tcMar>
            <w:tcW w:w="38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auto" w:fill="auto"/>
            <w:tcMar>
              <w:left w:w="15" w:type="dxa"/>
              <w:top w:w="15" w:type="dxa"/>
              <w:right w:w="15" w:type="dxa"/>
            </w:tcMar>
            <w:tcW w:w="155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设备名称</w:t>
            </w:r>
            <w:r/>
          </w:p>
        </w:tc>
        <w:tc>
          <w:tcPr>
            <w:shd w:val="clear" w:color="auto" w:fill="auto"/>
            <w:tcMar>
              <w:left w:w="15" w:type="dxa"/>
              <w:top w:w="15" w:type="dxa"/>
              <w:right w:w="15" w:type="dxa"/>
            </w:tcMar>
            <w:tcW w:w="478"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ffffff"/>
            <w:tcMar>
              <w:left w:w="15" w:type="dxa"/>
              <w:top w:w="15" w:type="dxa"/>
              <w:right w:w="15" w:type="dxa"/>
            </w:tcMar>
            <w:tcW w:w="45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shd w:val="clear" w:color="auto" w:fill="auto"/>
            <w:tcMar>
              <w:left w:w="15" w:type="dxa"/>
              <w:top w:w="15" w:type="dxa"/>
              <w:right w:w="15" w:type="dxa"/>
            </w:tcMar>
            <w:tcW w:w="2120" w:type="pct"/>
            <w:vAlign w:val="center"/>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交货地点</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15" w:type="dxa"/>
              <w:top w:w="15" w:type="dxa"/>
              <w:right w:w="15" w:type="dxa"/>
            </w:tcMar>
            <w:tcW w:w="1556" w:type="pct"/>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C臂机</w:t>
            </w:r>
            <w:r/>
          </w:p>
        </w:tc>
        <w:tc>
          <w:tcPr>
            <w:shd w:val="clear" w:color="auto" w:fill="auto"/>
            <w:tcMar>
              <w:left w:w="15" w:type="dxa"/>
              <w:top w:w="15" w:type="dxa"/>
              <w:right w:w="15" w:type="dxa"/>
            </w:tcMar>
            <w:tcW w:w="478"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15" w:type="dxa"/>
              <w:top w:w="15" w:type="dxa"/>
              <w:right w:w="15" w:type="dxa"/>
            </w:tcMar>
            <w:tcW w:w="2120"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扬州市中医院新院区（</w:t>
            </w:r>
            <w:r>
              <w:rPr>
                <w:rFonts w:hint="eastAsia" w:ascii="宋体" w:hAnsi="宋体" w:eastAsia="宋体" w:cs="宋体"/>
                <w:bCs/>
                <w:color w:val="auto"/>
                <w:sz w:val="21"/>
                <w:szCs w:val="21"/>
                <w:highlight w:val="none"/>
                <w:lang w:val="zh-CN"/>
              </w:rPr>
              <w:t xml:space="preserve">邗江区翠岗路400号</w:t>
            </w:r>
            <w:r>
              <w:rPr>
                <w:rFonts w:hint="eastAsia" w:ascii="宋体" w:hAnsi="宋体" w:eastAsia="宋体" w:cs="宋体"/>
                <w:color w:val="auto"/>
                <w:sz w:val="21"/>
                <w:szCs w:val="21"/>
                <w:highlight w:val="none"/>
              </w:rPr>
              <w:t xml:space="preserve">），最终地点由采购人指定</w:t>
            </w:r>
            <w:r/>
          </w:p>
        </w:tc>
      </w:tr>
    </w:tbl>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0"/>
        </w:numPr>
        <w:jc w:val="center"/>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技术参数及</w:t>
      </w:r>
      <w:r>
        <w:rPr>
          <w:rFonts w:hint="eastAsia" w:ascii="宋体" w:hAnsi="宋体" w:eastAsia="宋体" w:cs="宋体"/>
          <w:b/>
          <w:color w:val="auto"/>
          <w:sz w:val="21"/>
          <w:szCs w:val="21"/>
          <w:highlight w:val="none"/>
          <w:lang w:val="en-US" w:eastAsia="zh-CN"/>
        </w:rPr>
        <w:t xml:space="preserve">商务</w:t>
      </w:r>
      <w:r>
        <w:rPr>
          <w:rFonts w:hint="eastAsia" w:ascii="宋体" w:hAnsi="宋体" w:eastAsia="宋体" w:cs="宋体"/>
          <w:b/>
          <w:color w:val="auto"/>
          <w:sz w:val="21"/>
          <w:szCs w:val="21"/>
          <w:highlight w:val="none"/>
        </w:rPr>
        <w:t xml:space="preserve">要求（逐一应答）</w:t>
      </w:r>
      <w:r/>
    </w:p>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tbl>
      <w:tblPr>
        <w:tblStyle w:val="793"/>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6"/>
        <w:gridCol w:w="7670"/>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内容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设备用途</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single"/>
                <w:lang w:val="en-US" w:eastAsia="zh-CN" w:bidi="ar"/>
              </w:rPr>
              <w:t xml:space="preserve">主要用于适用于急诊、普通外科、脊柱外科、骨科、泌尿外科、创伤科、疼痛科、手术室等科室，可进行体内去异物、腰椎手术、整骨、复位、打钉、局部摄影等多种临床诊治。</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C</w:t>
            </w:r>
            <w:r>
              <w:rPr>
                <w:rFonts w:hint="eastAsia" w:ascii="宋体" w:hAnsi="宋体" w:eastAsia="宋体" w:cs="宋体"/>
                <w:b/>
                <w:bCs/>
                <w:color w:val="auto"/>
                <w:sz w:val="21"/>
                <w:szCs w:val="21"/>
                <w:highlight w:val="none"/>
                <w:lang w:val="en-US" w:eastAsia="zh-CN"/>
              </w:rPr>
              <w:t xml:space="preserve">型</w:t>
            </w:r>
            <w:r>
              <w:rPr>
                <w:rFonts w:hint="eastAsia" w:ascii="宋体" w:hAnsi="宋体" w:eastAsia="宋体" w:cs="宋体"/>
                <w:b/>
                <w:bCs/>
                <w:color w:val="auto"/>
                <w:sz w:val="21"/>
                <w:szCs w:val="21"/>
                <w:highlight w:val="none"/>
              </w:rPr>
              <w:t xml:space="preserve">臂架构部分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工作站与C臂主机一体化机架设计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C臂机架:具有自平衡性能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SID≥900mm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开口≥800mm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弧深≥660mm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C臂水平轴旋转角度≥±180°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C臂轨道内运动角度≥135°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C臂垂直移动≥400mm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C臂水平移动≥200mm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C臂左右摆动角度≥±15°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UPS不间断电池供电设计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高压发生器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高压发生器：高频高压发生器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Theme="minorEastAsia" w:hAnsiTheme="minorEastAsia" w:eastAsiaTheme="minorEastAsia" w:cstheme="minorEastAsia"/>
                <w:b w:val="0"/>
                <w:bCs w:val="0"/>
                <w:color w:val="ff0000"/>
                <w:sz w:val="21"/>
                <w:szCs w:val="24"/>
                <w:highlight w:val="none"/>
                <w:lang w:val="en-US" w:eastAsia="zh-CN"/>
              </w:rPr>
              <w:t xml:space="preserve">标称功率 ≥5kW</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发生器频率：≥100KHZ</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摄影kV最小值≤40kV</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摄影kV最大值≥120kV</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透视最大KV值：≥120KV</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透视最小KV值：≤40KV</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透视最小mA值：≤0.3mA</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脉冲透视最大mA值：≥28mA</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脉冲透视:具备自动变频脉冲</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具备自动亮度跟踪功能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b w:val="0"/>
                <w:bCs w:val="0"/>
                <w:color w:val="ff0000"/>
                <w:sz w:val="21"/>
                <w:szCs w:val="21"/>
                <w:lang w:val="en-US" w:eastAsia="zh-CN" w:bidi="ar"/>
              </w:rPr>
              <w:t xml:space="preserve">摄影mA最大值≥100mA</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摄片mAs:1mAs-280mAs</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具备X射线锁设计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球管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ff0000"/>
                <w:sz w:val="21"/>
                <w:szCs w:val="21"/>
                <w:highlight w:val="none"/>
              </w:rPr>
              <w:t xml:space="preserve">类型：固定阳极或旋转阳极</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双焦点设计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小焦点≤0.6mm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大焦点≤1.2mm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rPr>
              <w:t xml:space="preserve">阳极热容量≥70kHU</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平板探测器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ff0000"/>
                <w:sz w:val="21"/>
                <w:szCs w:val="21"/>
                <w:highlight w:val="none"/>
                <w:u w:val="none"/>
              </w:rPr>
              <w:suppressLineNumbers w:val="0"/>
            </w:pPr>
            <w:r>
              <w:rPr>
                <w:rFonts w:hint="eastAsia" w:asciiTheme="minorEastAsia" w:hAnsiTheme="minorEastAsia" w:eastAsiaTheme="minorEastAsia" w:cstheme="minorEastAsia"/>
                <w:b w:val="0"/>
                <w:bCs w:val="0"/>
                <w:color w:val="ff0000"/>
                <w:sz w:val="21"/>
                <w:szCs w:val="24"/>
                <w:highlight w:val="none"/>
                <w:lang w:val="en-US" w:eastAsia="zh-CN"/>
              </w:rPr>
              <w:t xml:space="preserve">非晶体硅材质或CMOS材质平板探测器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探测器散烁体类型：碘化铯</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探测器尺寸≥30cm×30cm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图像采集矩阵≥2048*2048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DQE≥72%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图像采集灰阶≥16位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像素尺寸≤150µm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空间分辨率≥3.1Lp/mm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具备双向红光十字定位功能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图像采集及处理系统</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软件升级：提供终身免费软件升级服务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硬盘：固态≥120G,机械≥1TB</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工作站软件：登记：登记保存、病历查询、Worklist；</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图像处理软件：具有快速动态图像处理与显示平台,多分辨率分析图像增强处理技术</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采集：开始采集、准备录像、重置、水平镜像、垂直镜像、调窗、放大镜、负像、打开剪影、边缘增强、递归降噪；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处理：四窗、九窗、锐化、水平镜像、垂直镜像、文字标注、长度测量；报表：保存、预览、专家模板；</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图像处理软件：具有快速动态图像处理与显示平台（RCDPS）,多分辨率分析图像增强处理技术。</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具有实时亮度和对比度自动调整功能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软件升级：提供终身免费软件升级服务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具有图像保存、发送文件等功能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手持控制器具备</w:t>
            </w:r>
            <w:r>
              <w:rPr>
                <w:rFonts w:hint="eastAsia" w:ascii="宋体" w:hAnsi="宋体" w:cs="宋体"/>
                <w:color w:val="auto"/>
                <w:sz w:val="21"/>
                <w:szCs w:val="21"/>
                <w:highlight w:val="none"/>
                <w:lang w:val="en-US" w:eastAsia="zh-CN"/>
              </w:rPr>
              <w:t xml:space="preserve">机器</w:t>
            </w:r>
            <w:r>
              <w:rPr>
                <w:rFonts w:hint="eastAsia" w:ascii="宋体" w:hAnsi="宋体" w:eastAsia="宋体" w:cs="宋体"/>
                <w:color w:val="auto"/>
                <w:sz w:val="21"/>
                <w:szCs w:val="21"/>
                <w:highlight w:val="none"/>
              </w:rPr>
              <w:t xml:space="preserve">运动控制功能及参数调节功能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显示器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C臂机具备触摸屏，支持触控操作调整参数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C臂机架主机显示屏≥27寸</w:t>
            </w:r>
            <w:r>
              <w:rPr>
                <w:rFonts w:hint="eastAsia" w:ascii="宋体" w:hAnsi="宋体" w:cs="宋体"/>
                <w:color w:val="auto"/>
                <w:sz w:val="21"/>
                <w:szCs w:val="21"/>
                <w:highlight w:val="none"/>
                <w:lang w:val="en-US" w:eastAsia="zh-CN"/>
              </w:rPr>
              <w:t xml:space="preserve"> </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显示器分辨率</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3840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2160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显示器亮度</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800cd/㎡</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工作站监视器四周具备金属框架防撞保护（投标文件中提供所投产品的真机照片）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工作站监视器上方具备X射线曝光提示灯，显示曝光参数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其他功能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UPS不间断电池供电设计，内置集成式UPS电源，具备意外断电数据保护及热插拔式不断电转场功能；转场功能且不插电不关机时间≥10分钟</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具备触摸式智能功能操作系统</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具备无射线状态束光器预览功能</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具备儿童低剂量模式</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制动装置：手把控制机器运动方向及停机刹车，避免线缆缠绕非脚踏制动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ind w:firstLine="0"/>
              <w:jc w:val="both"/>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具备DICOM3.0接口</w:t>
            </w:r>
            <w:r/>
          </w:p>
        </w:tc>
      </w:tr>
    </w:tbl>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（二）商务要求</w:t>
      </w:r>
      <w:r/>
    </w:p>
    <w:tbl>
      <w:tblPr>
        <w:tblStyle w:val="79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1778"/>
        <w:gridCol w:w="5977"/>
      </w:tblGrid>
      <w:tr>
        <w:trPr>
          <w:jc w:val="center"/>
          <w:trHeight w:val="520"/>
        </w:trPr>
        <w:tc>
          <w:tcPr>
            <w:tcW w:w="719"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序号</w:t>
            </w:r>
            <w:r/>
          </w:p>
        </w:tc>
        <w:tc>
          <w:tcPr>
            <w:tcW w:w="981"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商务和服务项目</w:t>
            </w:r>
            <w:r/>
          </w:p>
        </w:tc>
        <w:tc>
          <w:tcPr>
            <w:tcW w:w="3298"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商务和服务要求</w:t>
            </w:r>
            <w:r/>
          </w:p>
        </w:tc>
      </w:tr>
      <w:tr>
        <w:trPr>
          <w:jc w:val="center"/>
          <w:trHeight w:val="501"/>
        </w:trPr>
        <w:tc>
          <w:tcPr>
            <w:tcW w:w="1303" w:type="dxa"/>
            <w:vAlign w:val="center"/>
            <w:textDirection w:val="lrTb"/>
            <w:noWrap w:val="false"/>
          </w:tcPr>
          <w:p>
            <w:pPr>
              <w:jc w:val="center"/>
              <w:shd w:val="clear" w:color="auto"/>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lang w:val="zh-CN"/>
              </w:rPr>
              <w:t xml:space="preserve">1</w:t>
            </w:r>
            <w:r/>
          </w:p>
        </w:tc>
        <w:tc>
          <w:tcPr>
            <w:tcW w:w="1778" w:type="dxa"/>
            <w:vAlign w:val="center"/>
            <w:textDirection w:val="lrTb"/>
            <w:noWrap w:val="false"/>
          </w:tcPr>
          <w:p>
            <w:pPr>
              <w:jc w:val="center"/>
              <w:shd w:val="clear" w:color="auto"/>
              <w:widowControl/>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rPr>
              <w:t xml:space="preserve">项目完成期限</w:t>
            </w:r>
            <w:r/>
          </w:p>
        </w:tc>
        <w:tc>
          <w:tcPr>
            <w:tcW w:w="5977" w:type="dxa"/>
            <w:vAlign w:val="center"/>
            <w:textDirection w:val="lrTb"/>
            <w:noWrap w:val="false"/>
          </w:tcPr>
          <w:p>
            <w:pPr>
              <w:shd w:val="clear" w:color="auto"/>
              <w:widowControl/>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lang w:val="zh-CN"/>
              </w:rPr>
              <w:t xml:space="preserve">签订合同后</w:t>
            </w:r>
            <w:r>
              <w:rPr>
                <w:rFonts w:hint="eastAsia" w:ascii="宋体" w:hAnsi="宋体" w:eastAsia="宋体" w:cs="宋体"/>
                <w:b w:val="0"/>
                <w:bCs/>
                <w:i w:val="0"/>
                <w:iCs w:val="0"/>
                <w:color w:val="auto"/>
                <w:sz w:val="21"/>
                <w:szCs w:val="21"/>
                <w:highlight w:val="none"/>
                <w:u w:val="none"/>
              </w:rPr>
              <w:t xml:space="preserve">30天</w:t>
            </w:r>
            <w:r>
              <w:rPr>
                <w:rFonts w:hint="eastAsia" w:ascii="宋体" w:hAnsi="宋体" w:eastAsia="宋体" w:cs="宋体"/>
                <w:b w:val="0"/>
                <w:bCs/>
                <w:i w:val="0"/>
                <w:iCs w:val="0"/>
                <w:color w:val="auto"/>
                <w:sz w:val="21"/>
                <w:szCs w:val="21"/>
                <w:highlight w:val="none"/>
                <w:u w:val="none"/>
                <w:lang w:val="zh-CN"/>
              </w:rPr>
              <w:t xml:space="preserve">内交付使用</w:t>
            </w:r>
            <w:r/>
          </w:p>
        </w:tc>
      </w:tr>
      <w:tr>
        <w:trPr>
          <w:jc w:val="center"/>
          <w:trHeight w:val="485"/>
        </w:trPr>
        <w:tc>
          <w:tcPr>
            <w:tcW w:w="1303" w:type="dxa"/>
            <w:vAlign w:val="center"/>
            <w:textDirection w:val="lrTb"/>
            <w:noWrap w:val="false"/>
          </w:tcPr>
          <w:p>
            <w:pPr>
              <w:jc w:val="center"/>
              <w:shd w:val="clear" w:color="auto"/>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lang w:val="zh-CN"/>
              </w:rPr>
              <w:t xml:space="preserve">2</w:t>
            </w:r>
            <w:r/>
          </w:p>
        </w:tc>
        <w:tc>
          <w:tcPr>
            <w:tcW w:w="1778" w:type="dxa"/>
            <w:vAlign w:val="center"/>
            <w:textDirection w:val="lrTb"/>
            <w:noWrap w:val="false"/>
          </w:tcPr>
          <w:p>
            <w:pPr>
              <w:jc w:val="center"/>
              <w:shd w:val="clear" w:color="auto"/>
              <w:widowControl/>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rPr>
              <w:t xml:space="preserve">保修期</w:t>
            </w:r>
            <w:r/>
          </w:p>
        </w:tc>
        <w:tc>
          <w:tcPr>
            <w:tcW w:w="5977" w:type="dxa"/>
            <w:vAlign w:val="center"/>
            <w:textDirection w:val="lrTb"/>
            <w:noWrap w:val="false"/>
          </w:tcPr>
          <w:p>
            <w:pP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en-US" w:eastAsia="zh-CN"/>
              </w:rPr>
              <w:t xml:space="preserve">1.</w:t>
            </w:r>
            <w:r>
              <w:rPr>
                <w:rFonts w:hint="eastAsia" w:ascii="宋体" w:hAnsi="宋体" w:eastAsia="宋体" w:cs="宋体"/>
                <w:b w:val="0"/>
                <w:bCs/>
                <w:i w:val="0"/>
                <w:iCs w:val="0"/>
                <w:color w:val="auto"/>
                <w:sz w:val="21"/>
                <w:szCs w:val="21"/>
                <w:highlight w:val="none"/>
                <w:u w:val="none"/>
                <w:lang w:val="zh-CN"/>
              </w:rPr>
              <w:t xml:space="preserve">所投产品保修期需提供</w:t>
            </w:r>
            <w:r>
              <w:rPr>
                <w:rFonts w:hint="eastAsia" w:ascii="宋体" w:hAnsi="宋体" w:eastAsia="宋体" w:cs="宋体"/>
                <w:b w:val="0"/>
                <w:bCs/>
                <w:i w:val="0"/>
                <w:iCs w:val="0"/>
                <w:color w:val="auto"/>
                <w:sz w:val="21"/>
                <w:szCs w:val="21"/>
                <w:highlight w:val="none"/>
                <w:u w:val="none"/>
                <w:lang w:val="en-US" w:eastAsia="zh-CN"/>
              </w:rPr>
              <w:t xml:space="preserve">5</w:t>
            </w:r>
            <w:r>
              <w:rPr>
                <w:rFonts w:hint="eastAsia" w:ascii="宋体" w:hAnsi="宋体" w:eastAsia="宋体" w:cs="宋体"/>
                <w:b w:val="0"/>
                <w:bCs/>
                <w:i w:val="0"/>
                <w:iCs w:val="0"/>
                <w:color w:val="auto"/>
                <w:sz w:val="21"/>
                <w:szCs w:val="21"/>
                <w:highlight w:val="none"/>
                <w:u w:val="none"/>
                <w:lang w:val="zh-CN"/>
              </w:rPr>
              <w:t xml:space="preserve">年质保，自货物最终验收合格之日起计。质量保修期间产生的所有保修相关费用（包括但不限于人工费、备品备件、耗材、服务费、税金以及保修期间涉及到的其他一切费用）全部由投标人承担。（投标人提供承诺函原件扫描件上传）</w:t>
            </w:r>
            <w:r/>
          </w:p>
          <w:p>
            <w:pPr>
              <w:shd w:val="clear" w:color="auto"/>
              <w:widowControl/>
              <w:rPr>
                <w:rFonts w:hint="eastAsia" w:ascii="宋体" w:hAnsi="宋体" w:eastAsia="宋体" w:cs="宋体"/>
                <w:b w:val="0"/>
                <w:bCs/>
                <w:i/>
                <w:iCs/>
                <w:color w:val="auto"/>
                <w:sz w:val="21"/>
                <w:szCs w:val="21"/>
                <w:highlight w:val="none"/>
                <w:u w:val="single"/>
                <w:lang w:val="zh-CN"/>
              </w:rPr>
            </w:pPr>
            <w:r>
              <w:rPr>
                <w:rFonts w:hint="eastAsia" w:ascii="宋体" w:hAnsi="宋体" w:eastAsia="宋体" w:cs="宋体"/>
                <w:b w:val="0"/>
                <w:bCs/>
                <w:i w:val="0"/>
                <w:iCs w:val="0"/>
                <w:color w:val="auto"/>
                <w:sz w:val="21"/>
                <w:szCs w:val="21"/>
                <w:highlight w:val="none"/>
                <w:u w:val="none"/>
                <w:lang w:val="en-US" w:eastAsia="zh-CN"/>
              </w:rPr>
              <w:t xml:space="preserve">2.</w:t>
            </w:r>
            <w:r>
              <w:rPr>
                <w:rFonts w:hint="eastAsia" w:ascii="宋体" w:hAnsi="宋体" w:eastAsia="宋体" w:cs="宋体"/>
                <w:b w:val="0"/>
                <w:bCs/>
                <w:i w:val="0"/>
                <w:iCs w:val="0"/>
                <w:color w:val="auto"/>
                <w:sz w:val="21"/>
                <w:szCs w:val="21"/>
                <w:highlight w:val="none"/>
                <w:u w:val="none"/>
                <w:lang w:val="zh-CN"/>
              </w:rPr>
              <w:t xml:space="preserve">投标人承诺中标后签订合同前提供原厂质保函。（提供承诺函扫描件上传，格式自拟）</w:t>
            </w:r>
            <w:r/>
          </w:p>
        </w:tc>
      </w:tr>
      <w:tr>
        <w:trPr>
          <w:jc w:val="center"/>
        </w:trPr>
        <w:tc>
          <w:tcPr>
            <w:tcW w:w="719"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3</w:t>
            </w:r>
            <w:r/>
          </w:p>
        </w:tc>
        <w:tc>
          <w:tcPr>
            <w:tcW w:w="981"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售后服务</w:t>
            </w:r>
            <w:r/>
          </w:p>
        </w:tc>
        <w:tc>
          <w:tcPr>
            <w:tcW w:w="3298" w:type="pct"/>
            <w:textDirection w:val="lrTb"/>
            <w:noWrap w:val="false"/>
          </w:tcPr>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在保修期内，如有损坏或质量不合格者，卖方应及时给予修复和更换，其修理和更换应免费。正常修理周期和修理期间需提供免费测试。</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在保修期期满前一个月，投标人必须指派专业人员上门检测仪器，确保仪器的指标符合验收标准，如有问题应作为保修内容给予免费处理。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在保修期外，卖方为仪器提供终身维修服务，维修问题出现时，按技术参数服务要求相应条款处理。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在保修期内，如果原厂方鉴定设备因为人为损坏，厂方须出具具有法定权威性第三方检测证明，否则一律视为保修范围内容处理。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设备发生故障，投标人在接到采购人报修电话后2小时之内响应，6小时内到达现场，48小时内修复，否则采购人可自行采取必要的措施，由此产生的风险和费用由投标人承担。如有特殊情况，投标人应立即电话通知甲方不能响应的原因，在获得采购人同意后，才可推迟响应时间。</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终身提供免费的应用咨询及技术帮助。</w:t>
            </w:r>
            <w:r/>
          </w:p>
        </w:tc>
      </w:tr>
      <w:tr>
        <w:trPr>
          <w:jc w:val="center"/>
        </w:trPr>
        <w:tc>
          <w:tcPr>
            <w:tcW w:w="719"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4</w:t>
            </w:r>
            <w:r/>
          </w:p>
        </w:tc>
        <w:tc>
          <w:tcPr>
            <w:tcW w:w="981"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培训</w:t>
            </w:r>
            <w:r/>
          </w:p>
        </w:tc>
        <w:tc>
          <w:tcPr>
            <w:tcW w:w="3298" w:type="pct"/>
            <w:vAlign w:val="center"/>
            <w:textDirection w:val="lrTb"/>
            <w:noWrap w:val="false"/>
          </w:tcPr>
          <w:p>
            <w:pP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负责对采购人、最终用户的操作、维修人员在项目所在地进行业务培训，请投标人自报可以提供业务培训的人数及天数，并应达到能熟练操作并能排除常见故障的标准；</w:t>
            </w:r>
            <w:r/>
          </w:p>
        </w:tc>
      </w:tr>
      <w:tr>
        <w:trPr>
          <w:jc w:val="center"/>
        </w:trPr>
        <w:tc>
          <w:tcPr>
            <w:tcW w:w="719"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5</w:t>
            </w:r>
            <w:r/>
          </w:p>
        </w:tc>
        <w:tc>
          <w:tcPr>
            <w:tcW w:w="981"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验收标准</w:t>
            </w:r>
            <w:r/>
          </w:p>
        </w:tc>
        <w:tc>
          <w:tcPr>
            <w:tcW w:w="3298" w:type="pct"/>
            <w:textDirection w:val="lrTb"/>
            <w:noWrap w:val="false"/>
          </w:tcPr>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1.招标文件技术规格书中明确的标准和技术要求；</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2.与合同货物有关的最新版本的中华人民共和国国家/国际标准和部颁标准；</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3.货物合格证书技术资料中的精度、质量要求；</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4.投标人在澄清投标文件时作出的承诺，经买方确认后，将作为对货物的验收依据之一；</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5.双方签订的合同技术附件所规定的条款。</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color w:val="auto"/>
                <w:sz w:val="21"/>
                <w:szCs w:val="21"/>
                <w:highlight w:val="none"/>
              </w:rPr>
              <w:t xml:space="preserve">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tc>
      </w:tr>
      <w:tr>
        <w:trPr>
          <w:jc w:val="center"/>
          <w:trHeight w:val="674"/>
        </w:trPr>
        <w:tc>
          <w:tcPr>
            <w:tcW w:w="719" w:type="pct"/>
            <w:vAlign w:val="center"/>
            <w:textDirection w:val="lrTb"/>
            <w:noWrap w:val="false"/>
          </w:tcPr>
          <w:p>
            <w:pPr>
              <w:jc w:val="center"/>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6</w:t>
            </w:r>
            <w:r/>
          </w:p>
        </w:tc>
        <w:tc>
          <w:tcPr>
            <w:tcW w:w="981"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交货地点</w:t>
            </w:r>
            <w:r/>
          </w:p>
        </w:tc>
        <w:tc>
          <w:tcPr>
            <w:tcW w:w="3298" w:type="pct"/>
            <w:vAlign w:val="center"/>
            <w:textDirection w:val="lrTb"/>
            <w:noWrap w:val="false"/>
          </w:tcPr>
          <w:p>
            <w:pPr>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扬州市中医院新院区（邗江区翠岗路400号），最终地点由采购人指定。</w:t>
            </w:r>
            <w:r/>
          </w:p>
        </w:tc>
      </w:tr>
      <w:tr>
        <w:trPr>
          <w:jc w:val="center"/>
        </w:trPr>
        <w:tc>
          <w:tcPr>
            <w:tcW w:w="719"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7</w:t>
            </w:r>
            <w:r/>
          </w:p>
        </w:tc>
        <w:tc>
          <w:tcPr>
            <w:tcW w:w="981"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设备安装调试</w:t>
            </w:r>
            <w:r/>
          </w:p>
        </w:tc>
        <w:tc>
          <w:tcPr>
            <w:tcW w:w="3298" w:type="pct"/>
            <w:vAlign w:val="center"/>
            <w:textDirection w:val="lrTb"/>
            <w:noWrap w:val="false"/>
          </w:tcPr>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3.项目实施过程中若发生相关的安全事故由投标人自行负责。</w:t>
            </w:r>
            <w:r/>
          </w:p>
          <w:p>
            <w:pPr>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tc>
      </w:tr>
    </w:tbl>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
          <w:bCs w:val="0"/>
          <w:i/>
          <w:iCs/>
          <w:color w:val="auto"/>
          <w:sz w:val="21"/>
          <w:szCs w:val="21"/>
          <w:highlight w:val="none"/>
          <w:u w:val="single"/>
          <w:lang w:val="en-US" w:eastAsia="zh-CN" w:bidi="ar-SA"/>
        </w:rPr>
      </w:pPr>
      <w:r>
        <w:rPr>
          <w:rFonts w:hint="eastAsia" w:ascii="宋体" w:hAnsi="宋体" w:eastAsia="宋体" w:cs="宋体"/>
          <w:b/>
          <w:bCs w:val="0"/>
          <w:i/>
          <w:iCs/>
          <w:color w:val="auto"/>
          <w:sz w:val="21"/>
          <w:szCs w:val="21"/>
          <w:highlight w:val="none"/>
          <w:u w:val="single"/>
          <w:lang w:val="en-US" w:eastAsia="zh-CN" w:bidi="ar-SA"/>
        </w:rPr>
      </w:r>
      <w:r/>
    </w:p>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（三）其他</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2.产品综合性能</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3.项目实施方案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4.培训及技术支持方案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5.售后服务方案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根据该项目提供符合采购人情况的售后服务方案，应体现售后服务保障制度、服务团队配置、售后服务热线、服务承诺等。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6.应急方案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投标人根据项目需求提供应急方案，应体现应急方案及措施、应急人员安排、应急预案及应急时间等。</w:t>
      </w:r>
      <w:r/>
    </w:p>
    <w:p>
      <w:pPr>
        <w:jc w:val="center"/>
        <w:shd w:val="clear" w:color="auto"/>
        <w:rPr>
          <w:rFonts w:hint="eastAsia" w:ascii="宋体" w:hAnsi="宋体" w:eastAsia="宋体" w:cs="宋体"/>
          <w:b/>
          <w:color w:val="auto"/>
          <w:sz w:val="21"/>
          <w:szCs w:val="21"/>
          <w:highlight w:val="none"/>
        </w:rPr>
        <w:sectPr>
          <w:headerReference w:type="default" r:id="rId11"/>
          <w:footerReference w:type="default" r:id="rId15"/>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宋体" w:hAnsi="宋体" w:eastAsia="宋体" w:cs="宋体"/>
          <w:b/>
          <w:color w:val="auto"/>
          <w:sz w:val="21"/>
          <w:szCs w:val="21"/>
          <w:highlight w:val="none"/>
        </w:rPr>
      </w:r>
      <w:r/>
    </w:p>
    <w:p>
      <w:pPr>
        <w:shd w:val="clear" w:color="auto"/>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采购包2：</w:t>
      </w:r>
      <w:r/>
    </w:p>
    <w:p>
      <w:pP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一、货物需求一览表</w:t>
      </w:r>
      <w:r/>
    </w:p>
    <w:tbl>
      <w:tblPr>
        <w:tblStyle w:val="79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2595"/>
        <w:gridCol w:w="798"/>
        <w:gridCol w:w="762"/>
        <w:gridCol w:w="3536"/>
      </w:tblGrid>
      <w:tr>
        <w:trPr>
          <w:jc w:val="center"/>
          <w:trHeight w:val="454"/>
        </w:trPr>
        <w:tc>
          <w:tcPr>
            <w:shd w:val="clear" w:color="auto" w:fill="auto"/>
            <w:tcMar>
              <w:left w:w="15" w:type="dxa"/>
              <w:top w:w="15" w:type="dxa"/>
              <w:right w:w="15" w:type="dxa"/>
            </w:tcMar>
            <w:tcW w:w="38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auto" w:fill="auto"/>
            <w:tcMar>
              <w:left w:w="15" w:type="dxa"/>
              <w:top w:w="15" w:type="dxa"/>
              <w:right w:w="15" w:type="dxa"/>
            </w:tcMar>
            <w:tcW w:w="155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设备名称</w:t>
            </w:r>
            <w:r/>
          </w:p>
        </w:tc>
        <w:tc>
          <w:tcPr>
            <w:shd w:val="clear" w:color="auto" w:fill="auto"/>
            <w:tcMar>
              <w:left w:w="15" w:type="dxa"/>
              <w:top w:w="15" w:type="dxa"/>
              <w:right w:w="15" w:type="dxa"/>
            </w:tcMar>
            <w:tcW w:w="478"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ffffff"/>
            <w:tcMar>
              <w:left w:w="15" w:type="dxa"/>
              <w:top w:w="15" w:type="dxa"/>
              <w:right w:w="15" w:type="dxa"/>
            </w:tcMar>
            <w:tcW w:w="456"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shd w:val="clear" w:color="auto" w:fill="auto"/>
            <w:tcMar>
              <w:left w:w="15" w:type="dxa"/>
              <w:top w:w="15" w:type="dxa"/>
              <w:right w:w="15" w:type="dxa"/>
            </w:tcMar>
            <w:tcW w:w="2120" w:type="pct"/>
            <w:vAlign w:val="center"/>
            <w:textDirection w:val="lrTb"/>
            <w:noWrap/>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交货地点</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15" w:type="dxa"/>
              <w:top w:w="15" w:type="dxa"/>
              <w:right w:w="15" w:type="dxa"/>
            </w:tcMar>
            <w:tcW w:w="1556" w:type="pct"/>
            <w:vAlign w:val="center"/>
            <w:textDirection w:val="lrTb"/>
            <w:noWrap/>
          </w:tcPr>
          <w:p>
            <w:pPr>
              <w:jc w:val="center"/>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C臂机</w:t>
            </w:r>
            <w:r/>
          </w:p>
        </w:tc>
        <w:tc>
          <w:tcPr>
            <w:shd w:val="clear" w:color="auto" w:fill="auto"/>
            <w:tcMar>
              <w:left w:w="15" w:type="dxa"/>
              <w:top w:w="15" w:type="dxa"/>
              <w:right w:w="15" w:type="dxa"/>
            </w:tcMar>
            <w:tcW w:w="478"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15" w:type="dxa"/>
              <w:top w:w="15" w:type="dxa"/>
              <w:right w:w="15" w:type="dxa"/>
            </w:tcMar>
            <w:tcW w:w="2120" w:type="pct"/>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扬州市中医院新院区（</w:t>
            </w:r>
            <w:r>
              <w:rPr>
                <w:rFonts w:hint="eastAsia" w:ascii="宋体" w:hAnsi="宋体" w:eastAsia="宋体" w:cs="宋体"/>
                <w:bCs/>
                <w:color w:val="auto"/>
                <w:sz w:val="21"/>
                <w:szCs w:val="21"/>
                <w:highlight w:val="none"/>
                <w:lang w:val="zh-CN"/>
              </w:rPr>
              <w:t xml:space="preserve">邗江区翠岗路400号</w:t>
            </w:r>
            <w:r>
              <w:rPr>
                <w:rFonts w:hint="eastAsia" w:ascii="宋体" w:hAnsi="宋体" w:eastAsia="宋体" w:cs="宋体"/>
                <w:color w:val="auto"/>
                <w:sz w:val="21"/>
                <w:szCs w:val="21"/>
                <w:highlight w:val="none"/>
              </w:rPr>
              <w:t xml:space="preserve">），最终地点由采购人指定</w:t>
            </w:r>
            <w:r/>
          </w:p>
        </w:tc>
      </w:tr>
    </w:tbl>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0"/>
        </w:numPr>
        <w:jc w:val="center"/>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技术参数及</w:t>
      </w:r>
      <w:r>
        <w:rPr>
          <w:rFonts w:hint="eastAsia" w:ascii="宋体" w:hAnsi="宋体" w:eastAsia="宋体" w:cs="宋体"/>
          <w:b/>
          <w:color w:val="auto"/>
          <w:sz w:val="21"/>
          <w:szCs w:val="21"/>
          <w:highlight w:val="none"/>
          <w:lang w:val="en-US" w:eastAsia="zh-CN"/>
        </w:rPr>
        <w:t xml:space="preserve">商务</w:t>
      </w:r>
      <w:r>
        <w:rPr>
          <w:rFonts w:hint="eastAsia" w:ascii="宋体" w:hAnsi="宋体" w:eastAsia="宋体" w:cs="宋体"/>
          <w:b/>
          <w:color w:val="auto"/>
          <w:sz w:val="21"/>
          <w:szCs w:val="21"/>
          <w:highlight w:val="none"/>
        </w:rPr>
        <w:t xml:space="preserve">要求（逐一应答）</w:t>
      </w:r>
      <w:r/>
    </w:p>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7116"/>
      </w:tblGrid>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序号</w:t>
            </w:r>
            <w:r/>
          </w:p>
        </w:tc>
        <w:tc>
          <w:tcPr>
            <w:tcW w:w="7116" w:type="dxa"/>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内容</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一</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设备用途</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1.1</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u w:val="singl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主要用于手术室、普通外科、骨伤科、泌尿外科、胸外科等手术进行X射线透视及摄影诊断使用。</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二</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C型臂架构部分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2.1</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C型臂开口径≥78cm；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2.2</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C型臂弧深≥66cm；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2.3</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C型臂水平移动范围≥20cm；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2.4</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C型臂垂直升降高度范围≥42cm；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2.5</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C型臂左右摆角范围≥±12°；</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2.6</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C型臂轴向可旋转角度≥±200°；</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2.7</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C型臂轨道内过伸角度≥55°；</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2.8</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C型臂最低水平位投照高度≤102cm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三</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高压发生器及X线管部分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3.1</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最大输出功率≥2.5kW；</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3.2</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发生器频率≥40kHz；</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3.3</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最高连续透视电压≥110kV；</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3.4</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点片最大电流≥20mA；</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3.5</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小焦点≤0.6mm，大焦点≤1.4mm；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3.6</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X线管热容量≥900kHU；</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3.7</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阳极热容量≥76kHU；</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3.8</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阳极散热率35kHU/min；</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3.9</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管套散热率≥12.5kHU/min；</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四</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平板探测器部分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4.1</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平板成像大小≥21cm×21cm；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4.2</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平板探测器材质：非晶硅碘化铯；</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4.3</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图像采集矩阵≥1500*1500；</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4.4</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图像采集灰阶≥16bit；</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4.5</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像素尺寸≤200μm；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4.6</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空间分辨率≥3.4lp/mm；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4.7</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DQE≥70%；</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4.8</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滤线栅栅比≥10:1；</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4.9</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滤线栅密度≥70Lp/cm；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五</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监视器部分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5.1</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尺寸≥27英寸；</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5.2</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分辨率≥3840×2160；</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5.3</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亮度≥600cd/cm2；</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六</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系统操控及存储部分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6.1</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操控屏尺寸≥10英寸；</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6.2</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操控屏分辨率≥1280×800；</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6.3</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支持限位提醒、方向调整及锁定；</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6.4</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操作系统：Windows或Linux等主流系统；</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6.5</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具备Dicom3.0，实现存储、打印等功能；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6.6</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具备USB导出图像功能，多种格式可选；</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6.7</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支持与RIS、PACS系统无缝对接</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6.8</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患者信息管理方便，具备编辑、保存、查看等功能；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6.9</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图像存储容量≥150000幅；</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6.10</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曝光方式：有线脚闸曝光（操控距离≥10m）；</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6.11</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整机采用一体化设计；</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vertAlign w:val="baseline"/>
                <w:lang w:val="en-US" w:eastAsia="zh-CN" w:bidi="ar-SA"/>
              </w:rPr>
              <w:t xml:space="preserve">6.12</w:t>
            </w:r>
            <w:r/>
          </w:p>
        </w:tc>
        <w:tc>
          <w:tcPr>
            <w:tcW w:w="7116" w:type="dxa"/>
            <w:textDirection w:val="lrTb"/>
            <w:noWrap w:val="false"/>
          </w:tcPr>
          <w:p>
            <w:pPr>
              <w:numPr>
                <w:ilvl w:val="0"/>
                <w:numId w:val="0"/>
              </w:numPr>
              <w:ind w:firstLine="0"/>
              <w:jc w:val="left"/>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具备UPS不间断电源，持续时间不小于5min；</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七</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 xml:space="preserve">图像处理部分</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7.1</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具备图像上下及左右翻转、黑白翻转（负片）、自动旋转纠正功能；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7.2</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具备窗位调整功能；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7.3</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具备长度、角度等测量；</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7.4</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具备实时边缘增强功能；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7.5</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具备实时动态降噪功能；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7.6</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具备去除运动伪影功能；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7.7</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具备金属修正功能；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7.8</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具备软组织修正功能；</w:t>
            </w:r>
            <w:r/>
          </w:p>
        </w:tc>
      </w:tr>
      <w:tr>
        <w:trPr>
          <w:trHeight w:val="454"/>
        </w:trPr>
        <w:tc>
          <w:tcPr>
            <w:tcW w:w="1406" w:type="dxa"/>
            <w:vAlign w:val="center"/>
            <w:textDirection w:val="lrTb"/>
            <w:noWrap w:val="false"/>
          </w:tcPr>
          <w:p>
            <w:pPr>
              <w:numPr>
                <w:ilvl w:val="0"/>
                <w:numId w:val="0"/>
              </w:numPr>
              <w:ind w:firstLine="0"/>
              <w:jc w:val="center"/>
              <w:keepLines w:val="0"/>
              <w:keepNext w:val="0"/>
              <w:pageBreakBefore w:val="0"/>
              <w:spacing w:line="400" w:lineRule="exact"/>
              <w:shd w:val="clear" w:color="auto"/>
              <w:widowControl w:val="off"/>
              <w:rPr>
                <w:rFonts w:hint="default"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bidi="ar-SA"/>
              </w:rPr>
              <w:t xml:space="preserve">7.9</w:t>
            </w:r>
            <w:r/>
          </w:p>
        </w:tc>
        <w:tc>
          <w:tcPr>
            <w:tcW w:w="7116" w:type="dxa"/>
            <w:textDirection w:val="lrTb"/>
            <w:noWrap w:val="false"/>
          </w:tcPr>
          <w:p>
            <w:pPr>
              <w:numPr>
                <w:ilvl w:val="0"/>
                <w:numId w:val="0"/>
              </w:numPr>
              <w:ind w:firstLine="0"/>
              <w:jc w:val="both"/>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Cs/>
                <w:color w:val="auto"/>
                <w:sz w:val="21"/>
                <w:szCs w:val="21"/>
                <w:highlight w:val="none"/>
              </w:rPr>
              <w:t xml:space="preserve">具备DAP剂量显示；</w:t>
            </w:r>
            <w:r/>
          </w:p>
        </w:tc>
      </w:tr>
    </w:tbl>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（二）商务要求</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1505"/>
        <w:gridCol w:w="5623"/>
      </w:tblGrid>
      <w:tr>
        <w:trPr>
          <w:jc w:val="center"/>
          <w:trHeight w:val="520"/>
        </w:trPr>
        <w:tc>
          <w:tcPr>
            <w:tcW w:w="816"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序号</w:t>
            </w:r>
            <w:r/>
          </w:p>
        </w:tc>
        <w:tc>
          <w:tcPr>
            <w:tcW w:w="883"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商务和服务项目</w:t>
            </w:r>
            <w:r/>
          </w:p>
        </w:tc>
        <w:tc>
          <w:tcPr>
            <w:tcW w:w="3299" w:type="pct"/>
            <w:vAlign w:val="center"/>
            <w:textDirection w:val="lrTb"/>
            <w:noWrap w:val="false"/>
          </w:tcPr>
          <w:p>
            <w:pPr>
              <w:jc w:val="center"/>
              <w:shd w:val="clear" w:color="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商务和服务要求</w:t>
            </w:r>
            <w:r/>
          </w:p>
        </w:tc>
      </w:tr>
      <w:tr>
        <w:trPr>
          <w:jc w:val="center"/>
          <w:trHeight w:val="501"/>
        </w:trPr>
        <w:tc>
          <w:tcPr>
            <w:tcW w:w="816" w:type="pct"/>
            <w:vAlign w:val="center"/>
            <w:textDirection w:val="lrTb"/>
            <w:noWrap w:val="false"/>
          </w:tcPr>
          <w:p>
            <w:pPr>
              <w:jc w:val="center"/>
              <w:shd w:val="clear" w:color="auto"/>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zh-CN"/>
              </w:rPr>
              <w:t xml:space="preserve">1</w:t>
            </w:r>
            <w:r/>
          </w:p>
        </w:tc>
        <w:tc>
          <w:tcPr>
            <w:tcW w:w="883" w:type="pct"/>
            <w:vAlign w:val="center"/>
            <w:textDirection w:val="lrTb"/>
            <w:noWrap w:val="false"/>
          </w:tcPr>
          <w:p>
            <w:pPr>
              <w:jc w:val="cente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rPr>
              <w:t xml:space="preserve">项目完成期限</w:t>
            </w:r>
            <w:r/>
          </w:p>
        </w:tc>
        <w:tc>
          <w:tcPr>
            <w:tcW w:w="3299" w:type="pct"/>
            <w:vAlign w:val="center"/>
            <w:textDirection w:val="lrTb"/>
            <w:noWrap w:val="false"/>
          </w:tcPr>
          <w:p>
            <w:pP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zh-CN"/>
              </w:rPr>
              <w:t xml:space="preserve">签订合同后</w:t>
            </w:r>
            <w:r>
              <w:rPr>
                <w:rFonts w:hint="eastAsia" w:ascii="宋体" w:hAnsi="宋体" w:eastAsia="宋体" w:cs="宋体"/>
                <w:b w:val="0"/>
                <w:bCs/>
                <w:i w:val="0"/>
                <w:iCs w:val="0"/>
                <w:color w:val="auto"/>
                <w:sz w:val="21"/>
                <w:szCs w:val="21"/>
                <w:highlight w:val="none"/>
                <w:u w:val="none"/>
              </w:rPr>
              <w:t xml:space="preserve">30天</w:t>
            </w:r>
            <w:r>
              <w:rPr>
                <w:rFonts w:hint="eastAsia" w:ascii="宋体" w:hAnsi="宋体" w:eastAsia="宋体" w:cs="宋体"/>
                <w:b w:val="0"/>
                <w:bCs/>
                <w:i w:val="0"/>
                <w:iCs w:val="0"/>
                <w:color w:val="auto"/>
                <w:sz w:val="21"/>
                <w:szCs w:val="21"/>
                <w:highlight w:val="none"/>
                <w:u w:val="none"/>
                <w:lang w:val="zh-CN"/>
              </w:rPr>
              <w:t xml:space="preserve">内交付使用</w:t>
            </w:r>
            <w:r/>
          </w:p>
        </w:tc>
      </w:tr>
      <w:tr>
        <w:trPr>
          <w:jc w:val="center"/>
          <w:trHeight w:val="485"/>
        </w:trPr>
        <w:tc>
          <w:tcPr>
            <w:tcW w:w="816" w:type="pct"/>
            <w:vAlign w:val="center"/>
            <w:textDirection w:val="lrTb"/>
            <w:noWrap w:val="false"/>
          </w:tcPr>
          <w:p>
            <w:pPr>
              <w:jc w:val="center"/>
              <w:shd w:val="clear" w:color="auto"/>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zh-CN"/>
              </w:rPr>
              <w:t xml:space="preserve">2</w:t>
            </w:r>
            <w:r/>
          </w:p>
        </w:tc>
        <w:tc>
          <w:tcPr>
            <w:tcW w:w="883" w:type="pct"/>
            <w:vAlign w:val="center"/>
            <w:textDirection w:val="lrTb"/>
            <w:noWrap w:val="false"/>
          </w:tcPr>
          <w:p>
            <w:pPr>
              <w:jc w:val="cente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rPr>
              <w:t xml:space="preserve">保修期</w:t>
            </w:r>
            <w:r/>
          </w:p>
        </w:tc>
        <w:tc>
          <w:tcPr>
            <w:tcW w:w="5623" w:type="dxa"/>
            <w:vAlign w:val="center"/>
            <w:textDirection w:val="lrTb"/>
            <w:noWrap w:val="false"/>
          </w:tcPr>
          <w:p>
            <w:pP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en-US" w:eastAsia="zh-CN"/>
              </w:rPr>
              <w:t xml:space="preserve">1.</w:t>
            </w:r>
            <w:r>
              <w:rPr>
                <w:rFonts w:hint="eastAsia" w:ascii="宋体" w:hAnsi="宋体" w:eastAsia="宋体" w:cs="宋体"/>
                <w:b w:val="0"/>
                <w:bCs/>
                <w:i w:val="0"/>
                <w:iCs w:val="0"/>
                <w:color w:val="auto"/>
                <w:sz w:val="21"/>
                <w:szCs w:val="21"/>
                <w:highlight w:val="none"/>
                <w:u w:val="none"/>
                <w:lang w:val="zh-CN"/>
              </w:rPr>
              <w:t xml:space="preserve">所投产品保修期需提供</w:t>
            </w:r>
            <w:r>
              <w:rPr>
                <w:rFonts w:hint="eastAsia" w:ascii="宋体" w:hAnsi="宋体" w:eastAsia="宋体" w:cs="宋体"/>
                <w:b w:val="0"/>
                <w:bCs/>
                <w:i w:val="0"/>
                <w:iCs w:val="0"/>
                <w:color w:val="auto"/>
                <w:sz w:val="21"/>
                <w:szCs w:val="21"/>
                <w:highlight w:val="none"/>
                <w:u w:val="none"/>
                <w:lang w:val="en-US" w:eastAsia="zh-CN"/>
              </w:rPr>
              <w:t xml:space="preserve">5</w:t>
            </w:r>
            <w:r>
              <w:rPr>
                <w:rFonts w:hint="eastAsia" w:ascii="宋体" w:hAnsi="宋体" w:eastAsia="宋体" w:cs="宋体"/>
                <w:b w:val="0"/>
                <w:bCs/>
                <w:i w:val="0"/>
                <w:iCs w:val="0"/>
                <w:color w:val="auto"/>
                <w:sz w:val="21"/>
                <w:szCs w:val="21"/>
                <w:highlight w:val="none"/>
                <w:u w:val="none"/>
                <w:lang w:val="zh-CN"/>
              </w:rPr>
              <w:t xml:space="preserve">年质保，自货物最终验收合格之日起计。质量保修期间产生的所有保修相关费用（包括但不限于人工费、备品备件、耗材、服务费、税金以及保修期间涉及到的其他一切费用）全部由投标人承担。（投标人提供承诺函原件扫描件上传）</w:t>
            </w:r>
            <w:r/>
          </w:p>
          <w:p>
            <w:pPr>
              <w:shd w:val="clear" w:color="auto"/>
              <w:widowControl/>
              <w:rPr>
                <w:rFonts w:hint="eastAsia" w:ascii="宋体" w:hAnsi="宋体" w:eastAsia="宋体" w:cs="宋体"/>
                <w:b w:val="0"/>
                <w:bCs/>
                <w:i w:val="0"/>
                <w:iCs w:val="0"/>
                <w:color w:val="auto"/>
                <w:sz w:val="21"/>
                <w:szCs w:val="21"/>
                <w:highlight w:val="none"/>
                <w:u w:val="none"/>
                <w:lang w:val="zh-CN"/>
              </w:rPr>
            </w:pPr>
            <w:r>
              <w:rPr>
                <w:rFonts w:hint="eastAsia" w:ascii="宋体" w:hAnsi="宋体" w:eastAsia="宋体" w:cs="宋体"/>
                <w:b w:val="0"/>
                <w:bCs/>
                <w:i w:val="0"/>
                <w:iCs w:val="0"/>
                <w:color w:val="auto"/>
                <w:sz w:val="21"/>
                <w:szCs w:val="21"/>
                <w:highlight w:val="none"/>
                <w:u w:val="none"/>
                <w:lang w:val="en-US" w:eastAsia="zh-CN"/>
              </w:rPr>
              <w:t xml:space="preserve">2.</w:t>
            </w:r>
            <w:r>
              <w:rPr>
                <w:rFonts w:hint="eastAsia" w:ascii="宋体" w:hAnsi="宋体" w:eastAsia="宋体" w:cs="宋体"/>
                <w:b w:val="0"/>
                <w:bCs/>
                <w:i w:val="0"/>
                <w:iCs w:val="0"/>
                <w:color w:val="auto"/>
                <w:sz w:val="21"/>
                <w:szCs w:val="21"/>
                <w:highlight w:val="none"/>
                <w:u w:val="none"/>
                <w:lang w:val="zh-CN"/>
              </w:rPr>
              <w:t xml:space="preserve">投标人承诺中标后签订合同前提供原厂质保函。（提供承诺函扫描件上传，格式自拟）</w:t>
            </w:r>
            <w:r/>
          </w:p>
        </w:tc>
      </w:tr>
      <w:tr>
        <w:trPr>
          <w:jc w:val="center"/>
        </w:trPr>
        <w:tc>
          <w:tcPr>
            <w:tcW w:w="816"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3</w:t>
            </w:r>
            <w:r/>
          </w:p>
        </w:tc>
        <w:tc>
          <w:tcPr>
            <w:tcW w:w="883"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售后服务</w:t>
            </w:r>
            <w:r/>
          </w:p>
        </w:tc>
        <w:tc>
          <w:tcPr>
            <w:tcW w:w="5623" w:type="dxa"/>
            <w:vAlign w:val="top"/>
            <w:textDirection w:val="lrTb"/>
            <w:noWrap w:val="false"/>
          </w:tcPr>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在保修期内，如有损坏或质量不合格者，卖方应及时给予修复和更换，其修理和更换应免费。正常修理周期和修理期间需提供免费测试。</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在保修期期满前一个月，投标人必须指派专业人员上门检测仪器，确保仪器的指标符合验收标准，如有问题应作为保修内容给予免费处理。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在保修期外，卖方为仪器提供终身维修服务，维修问题出现时，按技术参数服务要求相应条款处理。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在保修期内，如果原厂方鉴定设备因为人为损坏，厂方须出具具有法定权威性第三方检测证明，否则一律视为保修范围内容处理。</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设备发生故障，投标人在接到采购人报修电话后2小时之内响应，6小时内到达现场，48小时内修复，否则采购人可自行采取必要的措施，由此产生的风险和费用由投标人承担。如有特殊情况，投标人应立即电话通知甲方不能响应的原因，在获得采购人同意后，才可推迟响应时间。</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终身提供免费的应用咨询及技术帮助。</w:t>
            </w:r>
            <w:r/>
          </w:p>
        </w:tc>
      </w:tr>
      <w:tr>
        <w:trPr>
          <w:jc w:val="center"/>
        </w:trPr>
        <w:tc>
          <w:tcPr>
            <w:tcW w:w="816"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4</w:t>
            </w:r>
            <w:r/>
          </w:p>
        </w:tc>
        <w:tc>
          <w:tcPr>
            <w:tcW w:w="883"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培训</w:t>
            </w:r>
            <w:r/>
          </w:p>
        </w:tc>
        <w:tc>
          <w:tcPr>
            <w:tcW w:w="3299" w:type="pct"/>
            <w:vAlign w:val="center"/>
            <w:textDirection w:val="lrTb"/>
            <w:noWrap w:val="false"/>
          </w:tcPr>
          <w:p>
            <w:pP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负责对采购人、最终用户的操作、维修人员在项目所在地进行业务培训，请投标人自报可以提供业务培训的人数及天数，并应达到能熟练操作并能排除常见故障的标准；</w:t>
            </w:r>
            <w:r/>
          </w:p>
        </w:tc>
      </w:tr>
      <w:tr>
        <w:trPr>
          <w:jc w:val="center"/>
        </w:trPr>
        <w:tc>
          <w:tcPr>
            <w:tcW w:w="816"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5</w:t>
            </w:r>
            <w:r/>
          </w:p>
        </w:tc>
        <w:tc>
          <w:tcPr>
            <w:tcW w:w="883"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验收标准</w:t>
            </w:r>
            <w:r/>
          </w:p>
        </w:tc>
        <w:tc>
          <w:tcPr>
            <w:tcW w:w="3299" w:type="pct"/>
            <w:textDirection w:val="lrTb"/>
            <w:noWrap w:val="false"/>
          </w:tcPr>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1.招标文件技术规格书中明确的标准和技术要求；</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2.与合同货物有关的最新版本的中华人民共和国国家/国际标准和部颁标准；</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3.货物合格证书技术资料中的精度、质量要求；</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4.投标人在澄清投标文件时作出的承诺，经买方确认后，将作为对货物的验收依据之一；</w:t>
            </w:r>
            <w:r/>
          </w:p>
          <w:p>
            <w:pPr>
              <w:jc w:val="left"/>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5.双方签订的合同技术附件所规定的条款。</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color w:val="auto"/>
                <w:sz w:val="21"/>
                <w:szCs w:val="21"/>
                <w:highlight w:val="none"/>
              </w:rPr>
              <w:t xml:space="preserve">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tc>
      </w:tr>
      <w:tr>
        <w:trPr>
          <w:jc w:val="center"/>
          <w:trHeight w:val="674"/>
        </w:trPr>
        <w:tc>
          <w:tcPr>
            <w:tcW w:w="816" w:type="pct"/>
            <w:vAlign w:val="center"/>
            <w:textDirection w:val="lrTb"/>
            <w:noWrap w:val="false"/>
          </w:tcPr>
          <w:p>
            <w:pPr>
              <w:jc w:val="center"/>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6</w:t>
            </w:r>
            <w:r/>
          </w:p>
        </w:tc>
        <w:tc>
          <w:tcPr>
            <w:tcW w:w="883" w:type="pct"/>
            <w:vAlign w:val="center"/>
            <w:textDirection w:val="lrTb"/>
            <w:noWrap w:val="false"/>
          </w:tcPr>
          <w:p>
            <w:pPr>
              <w:jc w:val="center"/>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交货地点</w:t>
            </w:r>
            <w:r/>
          </w:p>
        </w:tc>
        <w:tc>
          <w:tcPr>
            <w:tcW w:w="3299" w:type="pct"/>
            <w:vAlign w:val="center"/>
            <w:textDirection w:val="lrTb"/>
            <w:noWrap w:val="false"/>
          </w:tcPr>
          <w:p>
            <w:pPr>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扬州市中医院新院区（邗江区翠岗路400号），最终地点由采购人指定。</w:t>
            </w:r>
            <w:r/>
          </w:p>
        </w:tc>
      </w:tr>
      <w:tr>
        <w:trPr>
          <w:jc w:val="center"/>
        </w:trPr>
        <w:tc>
          <w:tcPr>
            <w:tcW w:w="816" w:type="pct"/>
            <w:vAlign w:val="center"/>
            <w:textDirection w:val="lrTb"/>
            <w:noWrap w:val="false"/>
          </w:tcPr>
          <w:p>
            <w:pPr>
              <w:jc w:val="center"/>
              <w:spacing w:line="360" w:lineRule="auto"/>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7</w:t>
            </w:r>
            <w:r/>
          </w:p>
        </w:tc>
        <w:tc>
          <w:tcPr>
            <w:tcW w:w="883" w:type="pct"/>
            <w:vAlign w:val="center"/>
            <w:textDirection w:val="lrTb"/>
            <w:noWrap w:val="false"/>
          </w:tcPr>
          <w:p>
            <w:pPr>
              <w:jc w:val="center"/>
              <w:spacing w:line="360" w:lineRule="auto"/>
              <w:shd w:val="clear" w:color="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设备安装调试</w:t>
            </w:r>
            <w:r/>
          </w:p>
        </w:tc>
        <w:tc>
          <w:tcPr>
            <w:tcW w:w="3299" w:type="pct"/>
            <w:vAlign w:val="center"/>
            <w:textDirection w:val="lrTb"/>
            <w:noWrap w:val="false"/>
          </w:tcPr>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3.项目实施过程中若发生相关的安全事故由投标人自行负责。</w:t>
            </w:r>
            <w:r/>
          </w:p>
          <w:p>
            <w:pPr>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tc>
      </w:tr>
    </w:tbl>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numPr>
          <w:ilvl w:val="0"/>
          <w:numId w:val="0"/>
        </w:numPr>
        <w:jc w:val="both"/>
        <w:keepLines w:val="0"/>
        <w:keepNext w:val="0"/>
        <w:pageBreakBefore w:val="0"/>
        <w:spacing w:line="440" w:lineRule="exact"/>
        <w:shd w:val="clear" w:color="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（三）其他</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1.落实商品包装、快递包装政府采购需求标准。在履约验收时按照本条款执行，违反本约定的对照合同违约条款追究违约责任。投标人一旦参与本项目，即完全响应本条款要求。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2.产品综合性能</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3.项目实施方案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4.培训方案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5.验收方案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投标人根据项目需求提供相应的验收方案，应体现验收计划、验收组织形式、验收内容、验收实施细则等。</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根据该项目提供符合采购人情况的售后服务方案，应体现售后服务保障制度、服务团队配置、售后服务热线、服务承诺等。</w:t>
      </w:r>
      <w:r/>
    </w:p>
    <w:p>
      <w:pPr>
        <w:shd w:val="clear" w:color="auto"/>
        <w:rPr>
          <w:color w:val="auto"/>
          <w:highlight w:val="none"/>
        </w:rPr>
      </w:pPr>
      <w:r>
        <w:rPr>
          <w:color w:val="auto"/>
          <w:highlight w:val="none"/>
        </w:rPr>
      </w:r>
      <w:r/>
    </w:p>
    <w:p>
      <w:pPr>
        <w:pStyle w:val="1128"/>
        <w:ind w:left="0" w:firstLine="420"/>
        <w:jc w:val="center"/>
        <w:spacing w:line="360" w:lineRule="auto"/>
        <w:shd w:val="clear" w:color="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29"/>
      <w:r/>
      <w:bookmarkStart w:id="30" w:name="_Toc497133123"/>
      <w:r>
        <w:rPr>
          <w:rFonts w:hint="eastAsia" w:ascii="宋体" w:hAnsi="宋体"/>
          <w:b/>
          <w:bCs/>
          <w:color w:val="auto"/>
          <w:sz w:val="36"/>
          <w:highlight w:val="none"/>
        </w:rPr>
        <w:t xml:space="preserve">第五章 评标方法及评标标准</w:t>
      </w:r>
      <w:r/>
    </w:p>
    <w:p>
      <w:pPr>
        <w:pStyle w:val="1129"/>
        <w:ind w:firstLine="422"/>
        <w:jc w:val="both"/>
        <w:spacing w:before="0" w:after="0"/>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29"/>
        <w:ind w:firstLine="420"/>
        <w:jc w:val="both"/>
        <w:spacing w:before="0" w:after="0"/>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ind w:firstLine="420"/>
        <w:spacing w:line="360" w:lineRule="auto"/>
        <w:shd w:val="clear" w:color="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（1）本项目对小型和微型企业产品给予20%的扣除价格，用扣除后的价格参与评审。</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（1）本项目对残疾人福利性单位视同小型、微型企业，给予20%的价格扣除，用扣除后的价格参与评审。</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（1）本项目对监狱和戒毒企业（简称监狱企业）视同小型、微型企业，给予20%的价格扣除，用扣除后的价格参与评审。</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（3）监狱企业标准请参照《关于政府采购支持监狱企业发展有关问题的通知》（财库[2014]68号）。</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6.联合体各方均为小型、微型企业（残疾人福利单位、监狱企业）的，联合体享受20%价格扣除，用扣除后的价格参与评审。</w:t>
      </w:r>
      <w:r/>
    </w:p>
    <w:p>
      <w:pPr>
        <w:pStyle w:val="1129"/>
        <w:ind w:firstLine="420"/>
        <w:spacing w:before="0" w:after="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8.采购本国产品的支持政策</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供应商需按照招标文件的要求提供《关于符合本国产品标准的声明函》（以下简称《声明函》），如不提供将不享受本国产品价格评审优惠。</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9"/>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9"/>
        <w:ind w:firstLine="422"/>
        <w:spacing w:before="0" w:after="0"/>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Pr>
          <w:rFonts w:hint="eastAsia" w:ascii="宋体" w:hAnsi="宋体" w:cs="宋体"/>
          <w:b/>
          <w:color w:val="auto"/>
          <w:sz w:val="21"/>
          <w:szCs w:val="21"/>
          <w:highlight w:val="none"/>
        </w:rPr>
        <w:t xml:space="preserve">（采购包1、采购包2）</w:t>
      </w:r>
      <w:r/>
    </w:p>
    <w:tbl>
      <w:tblPr>
        <w:tblStyle w:val="793"/>
        <w:tblpPr w:horzAnchor="page" w:tblpXSpec="center" w:vertAnchor="text" w:tblpY="57"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7228"/>
      </w:tblGrid>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bookmarkStart w:id="31" w:name="_Hlk157786788"/>
            <w:r>
              <w:rPr>
                <w:rFonts w:hint="eastAsia" w:ascii="宋体" w:hAnsi="宋体" w:cs="宋体"/>
                <w:color w:val="auto"/>
                <w:szCs w:val="21"/>
                <w:highlight w:val="none"/>
              </w:rPr>
              <w:t xml:space="preserve">评审因素</w:t>
            </w:r>
            <w:r/>
          </w:p>
        </w:tc>
        <w:tc>
          <w:tcPr>
            <w:tcW w:w="4241"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价格部分</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4241" w:type="pct"/>
            <w:vAlign w:val="center"/>
            <w:textDirection w:val="lrTb"/>
            <w:noWrap w:val="false"/>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价格分采用低价优先法计算，即满足招标文件要求且投标价格最低的投标报价为评标基准价，其价格分为满分30分。其他投标人的价格分按照下列公式计算：投标报价得分=（评标基准价/投标报价）×30。</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技术响应</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4241" w:type="pct"/>
            <w:vAlign w:val="center"/>
            <w:textDirection w:val="lrTb"/>
            <w:noWrap w:val="false"/>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技术参数全部满足采购要求的得满分30分；招标文件中标注“</w:t>
            </w:r>
            <w:r>
              <w:rPr>
                <w:rFonts w:hint="eastAsia" w:ascii="宋体" w:hAnsi="宋体" w:eastAsia="宋体" w:cs="宋体"/>
                <w:color w:val="auto"/>
                <w:highlight w:val="none"/>
              </w:rPr>
              <w:t xml:space="preserve">★</w:t>
            </w:r>
            <w:r>
              <w:rPr>
                <w:rFonts w:hint="eastAsia" w:ascii="宋体" w:hAnsi="宋体" w:cs="宋体"/>
                <w:color w:val="auto"/>
                <w:szCs w:val="21"/>
                <w:highlight w:val="none"/>
              </w:rPr>
              <w:t xml:space="preserve">”的为</w:t>
            </w:r>
            <w:r>
              <w:rPr>
                <w:rFonts w:hint="eastAsia" w:ascii="宋体" w:hAnsi="宋体" w:cs="宋体"/>
                <w:color w:val="auto"/>
                <w:szCs w:val="21"/>
                <w:highlight w:val="none"/>
                <w:lang w:val="en-US" w:eastAsia="zh-CN"/>
              </w:rPr>
              <w:t xml:space="preserve">关键</w:t>
            </w:r>
            <w:r>
              <w:rPr>
                <w:rFonts w:hint="eastAsia" w:ascii="宋体" w:hAnsi="宋体" w:cs="宋体"/>
                <w:color w:val="auto"/>
                <w:szCs w:val="21"/>
                <w:highlight w:val="none"/>
              </w:rPr>
              <w:t xml:space="preserve">参数，每负偏离一项扣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分，招标文件中标注“▲”的为重要参数，每负偏离一项扣3分，其他非“▲”参数负偏离的，则每项扣1分，扣完为止。</w:t>
            </w:r>
            <w:r/>
          </w:p>
          <w:p>
            <w:pPr>
              <w:jc w:val="left"/>
              <w:spacing w:line="360" w:lineRule="auto"/>
              <w:shd w:val="clear" w:color="auto"/>
              <w:rPr>
                <w:rFonts w:hint="eastAsia" w:ascii="宋体" w:hAnsi="宋体" w:cs="宋体"/>
                <w:color w:val="auto"/>
                <w:szCs w:val="21"/>
                <w:highlight w:val="none"/>
              </w:rPr>
            </w:pPr>
            <w:r>
              <w:rPr>
                <w:rFonts w:hint="eastAsia"/>
                <w:b/>
                <w:bCs/>
                <w:color w:val="auto"/>
                <w:highlight w:val="none"/>
              </w:rPr>
              <w:t xml:space="preserve">注：投标人须在“技术参数响应及偏离表”中逐条进行应答，列明所投产品详细技术特性说明偏离情况，否则视为负偏离扣分；在“技术参数响应及偏离表”里列明无偏离，但未能按要求提供相应的证明材料进行佐证的（如产品说明书或检测报告或产品彩页</w:t>
            </w:r>
            <w:r>
              <w:rPr>
                <w:rFonts w:hint="eastAsia"/>
                <w:b/>
                <w:bCs/>
                <w:color w:val="auto"/>
                <w:highlight w:val="none"/>
                <w:lang w:val="en-US" w:eastAsia="zh-CN"/>
              </w:rPr>
              <w:t xml:space="preserve">等</w:t>
            </w:r>
            <w:r>
              <w:rPr>
                <w:rFonts w:hint="eastAsia"/>
                <w:b/>
                <w:bCs/>
                <w:color w:val="auto"/>
                <w:highlight w:val="none"/>
              </w:rPr>
              <w:t xml:space="preserve">），作为负偏离扣除相应技术得分。</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241" w:type="pct"/>
            <w:vAlign w:val="center"/>
            <w:textDirection w:val="lrTb"/>
            <w:noWrap w:val="false"/>
          </w:tcPr>
          <w:p>
            <w:pPr>
              <w:jc w:val="left"/>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应提供设备到货运输、安装、调试方案。方案完整详实、科学合理、具备针对性且切实可行、满足采购人实际需求的得10分；方案基本完整、较为科学合理，基本满足采购人实际需求的得7分；方案完整性、合理性、针对性、可行性有所欠缺，与采购人实际需求存在差距得4分；方案完整性、合理性、针对性、可行性低，与采购人实际需求差距大的得1分；其余情况不得分。</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培训方案</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241" w:type="pct"/>
            <w:vAlign w:val="center"/>
            <w:textDirection w:val="lrTb"/>
            <w:noWrap w:val="false"/>
          </w:tcPr>
          <w:p>
            <w:pPr>
              <w:jc w:val="left"/>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应提供人员操作培训、维修保养培训、以及相关科研教育等进阶培训、学习会议方案。方案完整详实、科学合理、具备针对性且切实可行、满足采购人实际需求的得10分；方案基本完整、较为科学合理，基本满足采购人实际需求的得7分；方案完整性、合理性、针对性、可行性有所欠缺，与采购人实际需求存在差距得4分；方案完整性、合理性、针对性、可行性低，与采购人实际需求差距大的得1分；其余情况不得分。</w:t>
            </w:r>
            <w:r/>
          </w:p>
        </w:tc>
      </w:tr>
      <w:tr>
        <w:trPr>
          <w:jc w:val="center"/>
          <w:trHeight w:val="567"/>
        </w:trPr>
        <w:tc>
          <w:tcPr>
            <w:tcW w:w="1292" w:type="dxa"/>
            <w:vAlign w:val="center"/>
            <w:textDirection w:val="lrTb"/>
            <w:noWrap w:val="false"/>
          </w:tcPr>
          <w:p>
            <w:pPr>
              <w:jc w:val="center"/>
              <w:spacing w:line="360" w:lineRule="auto"/>
              <w:shd w:val="clear" w:color="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项目验收方案</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（5分）</w:t>
            </w:r>
            <w:r/>
          </w:p>
        </w:tc>
        <w:tc>
          <w:tcPr>
            <w:tcW w:w="7228"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投标人根据招标文件要求提供具体详实的项目验收方案，方案包含但不限于：验收计划；验收组织形式；验收内容；验收实施细则；验收中发现的问题处理措施等方面，</w:t>
            </w:r>
            <w:r>
              <w:rPr>
                <w:rFonts w:hint="eastAsia" w:ascii="宋体" w:hAnsi="宋体" w:cs="宋体"/>
                <w:color w:val="auto"/>
                <w:szCs w:val="21"/>
                <w:highlight w:val="none"/>
              </w:rPr>
              <w:t xml:space="preserve">由评委进行评分：</w:t>
            </w:r>
            <w:r>
              <w:rPr>
                <w:rFonts w:hint="eastAsia" w:ascii="宋体" w:hAnsi="宋体" w:cs="宋体"/>
                <w:color w:val="auto"/>
                <w:highlight w:val="none"/>
              </w:rPr>
              <w:t xml:space="preserve">方案详细、全面，完善，完全满足要求的得5分；方案详细程度及全面性、可操作性，基本满足要求的得3分；方案详细程度，内容完整性略有欠缺但不影响项目实施的，得2分；方案全面性、详细程度及内容完整性有瑕疵的，得1分；</w:t>
            </w:r>
            <w:r>
              <w:rPr>
                <w:rFonts w:hint="eastAsia" w:ascii="宋体" w:hAnsi="宋体" w:cs="宋体"/>
                <w:color w:val="auto"/>
                <w:szCs w:val="21"/>
                <w:highlight w:val="none"/>
              </w:rPr>
              <w:t xml:space="preserve">其余或不提供不得分。</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售后服务实施方案</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241" w:type="pct"/>
            <w:vAlign w:val="center"/>
            <w:textDirection w:val="lrTb"/>
            <w:noWrap w:val="false"/>
          </w:tcPr>
          <w:p>
            <w:pPr>
              <w:jc w:val="left"/>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根据供应商质保期内售后服务（响应时间，回访巡检方案、故障解决措施、技术人员保障、备品配件价格等）等服务内容。方案完整详实、科学合理、具备</w:t>
            </w:r>
            <w:r>
              <w:rPr>
                <w:rFonts w:hint="eastAsia" w:ascii="宋体" w:hAnsi="宋体" w:cs="宋体"/>
                <w:bCs/>
                <w:color w:val="auto"/>
                <w:szCs w:val="21"/>
                <w:highlight w:val="none"/>
              </w:rPr>
              <w:t xml:space="preserve">针对性</w:t>
            </w:r>
            <w:r>
              <w:rPr>
                <w:rFonts w:hint="eastAsia" w:ascii="宋体" w:hAnsi="宋体" w:cs="宋体"/>
                <w:color w:val="auto"/>
                <w:szCs w:val="21"/>
                <w:highlight w:val="none"/>
              </w:rPr>
              <w:t xml:space="preserve">且切实可行、满足采购人实际需求的得10分；方案基本完整、较为科学合理，基本满足采购人实际需求的得7分；方案完整性、合理性、针对性、可行性有所欠缺，</w:t>
            </w:r>
            <w:r>
              <w:rPr>
                <w:rFonts w:hint="eastAsia" w:ascii="宋体" w:hAnsi="宋体" w:cs="宋体"/>
                <w:bCs/>
                <w:color w:val="auto"/>
                <w:szCs w:val="21"/>
                <w:highlight w:val="none"/>
              </w:rPr>
              <w:t xml:space="preserve">与</w:t>
            </w:r>
            <w:r>
              <w:rPr>
                <w:rFonts w:hint="eastAsia" w:ascii="宋体" w:hAnsi="宋体" w:cs="宋体"/>
                <w:color w:val="auto"/>
                <w:szCs w:val="21"/>
                <w:highlight w:val="none"/>
              </w:rPr>
              <w:t xml:space="preserve">采购人实际需求存在差距得4分；方案完整性、合理性、针对性、可行性低，与采购人实际需求差距大的得1分；其余情况不得分。</w:t>
            </w:r>
            <w:r/>
          </w:p>
        </w:tc>
      </w:tr>
      <w:tr>
        <w:trPr>
          <w:jc w:val="center"/>
          <w:trHeight w:val="567"/>
        </w:trPr>
        <w:tc>
          <w:tcPr>
            <w:tcW w:w="758" w:type="pct"/>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所投产品的业绩</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（5分）</w:t>
            </w:r>
            <w:r/>
          </w:p>
        </w:tc>
        <w:tc>
          <w:tcPr>
            <w:tcW w:w="4241" w:type="pct"/>
            <w:vAlign w:val="center"/>
            <w:textDirection w:val="lrTb"/>
            <w:noWrap w:val="false"/>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提供自2023年01月01日至今与本次所投产品同品牌同型号设备的业绩案例，每提供一份得1分，本项最高得5分。（提供合同</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，时间以合同签订时间为准，不提供或提供不全不得分）</w:t>
            </w:r>
            <w:r/>
          </w:p>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注：设备业绩是指所投产品的业绩，不限制合同签订方是投标人自身，仅需确保所提供合同中显示的合同货物型号与本次所投产品型号相同即可。</w:t>
            </w:r>
            <w:bookmarkEnd w:id="31"/>
            <w:r/>
          </w:p>
        </w:tc>
      </w:tr>
    </w:tbl>
    <w:p>
      <w:pPr>
        <w:pStyle w:val="783"/>
        <w:jc w:val="center"/>
        <w:shd w:val="clear" w:color="auto"/>
        <w:rPr>
          <w:rFonts w:hint="eastAsia" w:ascii="宋体" w:hAnsi="宋体"/>
          <w:color w:val="auto"/>
          <w:highlight w:val="none"/>
        </w:rPr>
      </w:pPr>
      <w:r>
        <w:rPr>
          <w:rFonts w:hint="eastAsia" w:ascii="宋体" w:hAnsi="宋体"/>
          <w:color w:val="auto"/>
          <w:highlight w:val="none"/>
        </w:rPr>
      </w:r>
      <w:r/>
    </w:p>
    <w:p>
      <w:pPr>
        <w:shd w:val="clear" w:color="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83"/>
        <w:jc w:val="center"/>
        <w:shd w:val="clear" w:color="auto"/>
        <w:rPr>
          <w:rFonts w:hint="eastAsia" w:ascii="宋体" w:hAnsi="宋体"/>
          <w:color w:val="auto"/>
          <w:highlight w:val="none"/>
        </w:rPr>
      </w:pPr>
      <w:r>
        <w:rPr>
          <w:rFonts w:hint="eastAsia" w:ascii="宋体" w:hAnsi="宋体"/>
          <w:color w:val="auto"/>
          <w:highlight w:val="none"/>
        </w:rPr>
        <w:t xml:space="preserve">第六章 投标文件格式 </w:t>
      </w:r>
      <w:r/>
    </w:p>
    <w:p>
      <w:pPr>
        <w:shd w:val="clear" w:color="auto"/>
        <w:rPr>
          <w:rFonts w:ascii="黑体" w:eastAsia="黑体"/>
          <w:bCs/>
          <w:color w:val="auto"/>
          <w:sz w:val="44"/>
          <w:highlight w:val="none"/>
        </w:rPr>
      </w:pPr>
      <w:r>
        <w:rPr>
          <w:rFonts w:ascii="黑体" w:eastAsia="黑体"/>
          <w:bCs/>
          <w:color w:val="auto"/>
          <w:sz w:val="44"/>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1084"/>
        <w:shd w:val="clear" w:color="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hd w:val="clear" w:color="auto"/>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shd w:val="clear" w:color="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shd w:val="clear" w:color="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shd w:val="clear" w:color="auto"/>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shd w:val="clear" w:color="auto"/>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84"/>
        <w:numPr>
          <w:ilvl w:val="0"/>
          <w:numId w:val="0"/>
        </w:numPr>
        <w:jc w:val="center"/>
        <w:shd w:val="clear" w:color="auto"/>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79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shd w:val="clear" w:color="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shd w:val="clear" w:color="auto"/>
              <w:rPr>
                <w:rFonts w:hint="eastAsia" w:ascii="宋体" w:hAnsi="宋体"/>
                <w:i w:val="0"/>
                <w:iCs w:val="0"/>
                <w:color w:val="auto"/>
                <w:szCs w:val="21"/>
                <w:highlight w:val="none"/>
                <w:u w:val="none"/>
              </w:rPr>
            </w:pPr>
            <w:r>
              <w:rPr>
                <w:rFonts w:hint="eastAsia" w:ascii="宋体" w:hAnsi="宋体" w:cs="宋体"/>
                <w:i w:val="0"/>
                <w:iCs w:val="0"/>
                <w:color w:val="auto"/>
                <w:szCs w:val="21"/>
                <w:highlight w:val="none"/>
                <w:u w:val="none"/>
                <w:lang w:eastAsia="zh-CN"/>
              </w:rPr>
              <w:t xml:space="preserve">依法缴纳职工社会保障资金的证明材料(税务、银行或社会保险基金管理部门出具的提交投标响应文件截止时间前一年内至少一个月缴纳职工社会保障资金的缴款凭证或缴款证明)（投标人依法享受缓缴、免缴的提供证明材料）</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shd w:val="clear" w:color="auto"/>
              <w:rPr>
                <w:rFonts w:hint="eastAsia" w:ascii="宋体" w:hAnsi="宋体"/>
                <w:i w:val="0"/>
                <w:iCs w:val="0"/>
                <w:color w:val="auto"/>
                <w:szCs w:val="21"/>
                <w:highlight w:val="none"/>
                <w:u w:val="none"/>
              </w:rPr>
            </w:pPr>
            <w:r>
              <w:rPr>
                <w:rFonts w:hint="eastAsia" w:ascii="宋体" w:hAnsi="宋体" w:cs="宋体"/>
                <w:i w:val="0"/>
                <w:iCs w:val="0"/>
                <w:color w:val="auto"/>
                <w:szCs w:val="21"/>
                <w:highlight w:val="none"/>
                <w:u w:val="none"/>
              </w:rPr>
              <w:t xml:space="preserve">提交投标响应文件截止时间前一年内至少一个月依法纳税的缴款凭证</w:t>
            </w:r>
            <w:r>
              <w:rPr>
                <w:rFonts w:hint="eastAsia" w:ascii="宋体" w:hAnsi="宋体" w:cs="宋体"/>
                <w:b/>
                <w:bCs/>
                <w:i w:val="0"/>
                <w:iCs w:val="0"/>
                <w:color w:val="auto"/>
                <w:szCs w:val="21"/>
                <w:highlight w:val="none"/>
                <w:u w:val="none"/>
              </w:rPr>
              <w:t xml:space="preserve">（投标人依法享受缓缴、免缴的提供证明材料）</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shd w:val="clear" w:color="auto"/>
              <w:rPr>
                <w:rFonts w:hint="eastAsia"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ind w:firstLine="0"/>
              <w:jc w:val="left"/>
              <w:spacing w:line="360" w:lineRule="auto"/>
              <w:shd w:val="clear" w:color="auto"/>
              <w:rPr>
                <w:color w:val="auto"/>
                <w:highlight w:val="none"/>
              </w:rPr>
            </w:pPr>
            <w:r>
              <w:rPr>
                <w:rFonts w:hint="eastAsia" w:ascii="宋体" w:hAnsi="宋体" w:cs="宋体"/>
                <w:color w:val="auto"/>
                <w:szCs w:val="21"/>
                <w:highlight w:val="none"/>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0"/>
              <w:jc w:val="left"/>
              <w:spacing w:line="360" w:lineRule="auto"/>
              <w:shd w:val="clear" w:color="auto"/>
              <w:rPr>
                <w:rFonts w:hint="eastAsia" w:ascii="宋体" w:hAnsi="宋体" w:cs="宋体"/>
                <w:bCs/>
                <w:color w:val="auto"/>
                <w:highlight w:val="none"/>
                <w:u w:val="singl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shd w:val="clear" w:color="auto"/>
              <w:rPr>
                <w:rFonts w:hint="eastAsia" w:ascii="宋体" w:hAnsi="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1投标人须具备有效的《医疗器械生产许可证》或《医疗器械经营许可证》或所投产品相应类别的《医疗器械经营备案凭证》</w:t>
            </w:r>
            <w:r>
              <w:rPr>
                <w:rFonts w:hint="eastAsia" w:ascii="宋体" w:hAnsi="宋体" w:cs="宋体"/>
                <w:b/>
                <w:bCs/>
                <w:i w:val="0"/>
                <w:iCs w:val="0"/>
                <w:color w:val="auto"/>
                <w:szCs w:val="21"/>
                <w:highlight w:val="none"/>
                <w:u w:val="none"/>
                <w:lang w:val="en-US" w:eastAsia="zh-CN"/>
              </w:rPr>
              <w:t xml:space="preserve">（提供证书原件扫描上传）</w:t>
            </w:r>
            <w:r>
              <w:rPr>
                <w:rFonts w:hint="eastAsia" w:ascii="宋体" w:hAnsi="宋体" w:cs="宋体"/>
                <w:i w:val="0"/>
                <w:iCs w:val="0"/>
                <w:color w:val="auto"/>
                <w:szCs w:val="21"/>
                <w:highlight w:val="none"/>
                <w:u w:val="none"/>
                <w:lang w:val="en-US" w:eastAsia="zh-CN"/>
              </w:rPr>
              <w:t xml:space="preserve">；</w:t>
            </w:r>
            <w:r/>
          </w:p>
          <w:p>
            <w:pPr>
              <w:spacing w:line="360" w:lineRule="auto"/>
              <w:shd w:val="clear" w:color="auto"/>
              <w:rPr>
                <w:rFonts w:hint="default" w:ascii="宋体" w:hAnsi="宋体" w:eastAsia="宋体" w:cs="宋体"/>
                <w:i w:val="0"/>
                <w:iCs/>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2投标人所投产品应具有有效的医疗器械注册证</w:t>
            </w:r>
            <w:r>
              <w:rPr>
                <w:rFonts w:hint="eastAsia" w:ascii="宋体" w:hAnsi="宋体" w:cs="宋体"/>
                <w:b/>
                <w:bCs/>
                <w:i w:val="0"/>
                <w:iCs w:val="0"/>
                <w:color w:val="auto"/>
                <w:szCs w:val="21"/>
                <w:highlight w:val="none"/>
                <w:u w:val="none"/>
                <w:lang w:val="en-US" w:eastAsia="zh-CN"/>
              </w:rPr>
              <w:t xml:space="preserve">（提供证书原件扫描上传）</w:t>
            </w:r>
            <w:r>
              <w:rPr>
                <w:rFonts w:hint="eastAsia" w:ascii="宋体" w:hAnsi="宋体" w:cs="宋体"/>
                <w:i w:val="0"/>
                <w:iCs w:val="0"/>
                <w:color w:val="auto"/>
                <w:szCs w:val="21"/>
                <w:highlight w:val="none"/>
                <w:u w:val="none"/>
                <w:lang w:val="en-US" w:eastAsia="zh-CN"/>
              </w:rPr>
              <w:t xml:space="preserve">。</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jc w:val="left"/>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shd w:val="clear" w:color="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shd w:val="clear" w:color="auto"/>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jc w:val="center"/>
        <w:spacing w:after="312"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shd w:val="clear" w:color="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shd w:val="clear" w:color="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shd w:val="clear" w:color="auto"/>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29"/>
        <w:ind w:firstLine="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JSZC-321000-JSWC-G2026-0013</w:t>
      </w:r>
      <w:r>
        <w:rPr>
          <w:rFonts w:hint="eastAsia" w:ascii="宋体" w:hAnsi="宋体"/>
          <w:color w:val="auto"/>
          <w:sz w:val="21"/>
          <w:szCs w:val="21"/>
          <w:highlight w:val="none"/>
        </w:rPr>
        <w:t xml:space="preserve">号招标文件，正式授权下述签字人____(姓名)代表我方____________（投标人的名称），全权处理本次项目投标的有关事宜。</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9"/>
        <w:ind w:firstLine="420"/>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9"/>
        <w:ind w:left="425" w:firstLine="105"/>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129"/>
        <w:ind w:firstLine="478"/>
        <w:spacing w:before="0" w:after="0"/>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hd w:val="clear" w:color="auto"/>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36"/>
        <w:ind w:firstLine="420"/>
        <w:spacing w:line="360" w:lineRule="auto"/>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36"/>
        <w:ind w:firstLine="420"/>
        <w:spacing w:line="360" w:lineRule="auto"/>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36"/>
        <w:ind w:firstLine="0"/>
        <w:spacing w:line="360" w:lineRule="auto"/>
        <w:shd w:val="clear" w:color="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36"/>
        <w:ind w:firstLine="420"/>
        <w:spacing w:line="360" w:lineRule="auto"/>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36"/>
        <w:ind w:firstLine="420"/>
        <w:spacing w:line="360" w:lineRule="auto"/>
        <w:shd w:val="clear" w:color="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36"/>
        <w:ind w:firstLine="0"/>
        <w:spacing w:line="360" w:lineRule="auto"/>
        <w:shd w:val="clear" w:color="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36"/>
        <w:ind w:firstLine="420"/>
        <w:spacing w:line="360" w:lineRule="auto"/>
        <w:shd w:val="clear" w:color="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36"/>
        <w:ind w:firstLine="420"/>
        <w:spacing w:line="360" w:lineRule="auto"/>
        <w:shd w:val="clear" w:color="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shd w:val="clear" w:color="auto"/>
        <w:rPr>
          <w:rFonts w:hint="eastAsia" w:ascii="宋体" w:hAnsi="宋体"/>
          <w:bCs/>
          <w:color w:val="auto"/>
          <w:highlight w:val="none"/>
        </w:rPr>
      </w:pPr>
      <w:r>
        <w:rPr>
          <w:rFonts w:hint="eastAsia" w:ascii="宋体" w:hAnsi="宋体"/>
          <w:bCs/>
          <w:color w:val="auto"/>
          <w:highlight w:val="none"/>
        </w:rPr>
      </w:r>
      <w:r/>
    </w:p>
    <w:p>
      <w:pPr>
        <w:spacing w:line="460" w:lineRule="exact"/>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shd w:val="clear" w:color="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84"/>
        <w:numPr>
          <w:ilvl w:val="0"/>
          <w:numId w:val="0"/>
        </w:numPr>
        <w:jc w:val="center"/>
        <w:spacing w:before="260" w:after="260" w:line="416" w:lineRule="auto"/>
        <w:shd w:val="clear" w:color="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9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shd w:val="clear" w:color="auto"/>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84"/>
        <w:numPr>
          <w:ilvl w:val="0"/>
          <w:numId w:val="0"/>
        </w:numPr>
        <w:jc w:val="center"/>
        <w:spacing w:before="260" w:after="260" w:line="416" w:lineRule="auto"/>
        <w:shd w:val="clear" w:color="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9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shd w:val="clear" w:color="auto"/>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shd w:val="clear" w:color="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0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shd w:val="clear" w:color="auto"/>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hd w:val="clear" w:color="auto"/>
        <w:rPr>
          <w:color w:val="auto"/>
          <w:highlight w:val="none"/>
        </w:rPr>
      </w:pPr>
      <w:r>
        <w:rPr>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shd w:val="clear" w:color="auto"/>
        <w:rPr>
          <w:b/>
          <w:bCs/>
          <w:color w:val="auto"/>
          <w:highlight w:val="none"/>
        </w:rPr>
      </w:pPr>
      <w:r>
        <w:rPr>
          <w:b/>
          <w:bCs/>
          <w:color w:val="auto"/>
          <w:highlight w:val="none"/>
        </w:rPr>
      </w:r>
      <w:r/>
    </w:p>
    <w:p>
      <w:pPr>
        <w:jc w:val="center"/>
        <w:spacing w:before="312" w:after="312"/>
        <w:shd w:val="clear" w:color="auto"/>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shd w:val="clear" w:color="auto"/>
        <w:rPr>
          <w:rFonts w:hint="eastAsia" w:ascii="宋体" w:hAnsi="宋体" w:cs="宋体"/>
          <w:color w:val="auto"/>
          <w:highlight w:val="none"/>
        </w:rPr>
      </w:pPr>
      <w:r>
        <w:rPr>
          <w:rFonts w:hint="eastAsia" w:ascii="宋体" w:hAnsi="宋体" w:cs="宋体"/>
          <w:color w:val="auto"/>
          <w:highlight w:val="none"/>
        </w:rPr>
      </w:r>
      <w:r/>
    </w:p>
    <w:p>
      <w:pPr>
        <w:jc w:val="left"/>
        <w:shd w:val="clear" w:color="auto"/>
        <w:rPr>
          <w:rFonts w:hint="eastAsia" w:ascii="宋体" w:hAnsi="宋体" w:cs="宋体"/>
          <w:color w:val="auto"/>
          <w:highlight w:val="none"/>
        </w:rPr>
      </w:pPr>
      <w:r>
        <w:rPr>
          <w:rFonts w:hint="eastAsia" w:ascii="宋体" w:hAnsi="宋体" w:cs="宋体"/>
          <w:color w:val="auto"/>
          <w:highlight w:val="none"/>
        </w:rPr>
      </w:r>
      <w:r/>
    </w:p>
    <w:p>
      <w:pPr>
        <w:jc w:val="left"/>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shd w:val="clear" w:color="auto"/>
        <w:rPr>
          <w:rFonts w:hint="eastAsia" w:ascii="宋体" w:hAnsi="宋体" w:cs="宋体"/>
          <w:color w:val="auto"/>
          <w:highlight w:val="none"/>
        </w:rPr>
      </w:pPr>
      <w:r>
        <w:rPr>
          <w:rFonts w:hint="eastAsia" w:ascii="宋体" w:hAnsi="宋体" w:cs="宋体"/>
          <w:color w:val="auto"/>
          <w:highlight w:val="none"/>
        </w:rPr>
      </w:r>
      <w:r/>
    </w:p>
    <w:p>
      <w:pPr>
        <w:jc w:val="left"/>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shd w:val="clear" w:color="auto"/>
        <w:rPr>
          <w:color w:val="auto"/>
          <w:highlight w:val="none"/>
        </w:rPr>
      </w:pPr>
      <w:r>
        <w:rPr>
          <w:color w:val="auto"/>
          <w:highlight w:val="none"/>
        </w:rPr>
        <w:t xml:space="preserve"> </w:t>
      </w:r>
      <w:r/>
    </w:p>
    <w:p>
      <w:pPr>
        <w:shd w:val="clear" w:color="auto"/>
        <w:rPr>
          <w:rFonts w:hint="eastAsia" w:ascii="宋体" w:hAnsi="宋体"/>
          <w:b/>
          <w:bCs/>
          <w:color w:val="auto"/>
          <w:highlight w:val="none"/>
        </w:rPr>
      </w:pPr>
      <w:r>
        <w:rPr>
          <w:rFonts w:hint="eastAsia" w:ascii="宋体" w:hAnsi="宋体"/>
          <w:b/>
          <w:bCs/>
          <w:color w:val="auto"/>
          <w:highlight w:val="none"/>
        </w:rPr>
        <w:br w:type="page" w:clear="all"/>
      </w:r>
      <w:r/>
    </w:p>
    <w:p>
      <w:pPr>
        <w:jc w:val="center"/>
        <w:shd w:val="clear" w:color="auto"/>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shd w:val="clear" w:color="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shd w:val="clear" w:color="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shd w:val="clear" w:color="auto"/>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shd w:val="clear" w:color="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84"/>
        <w:numPr>
          <w:ilvl w:val="0"/>
          <w:numId w:val="0"/>
        </w:numPr>
        <w:jc w:val="center"/>
        <w:spacing w:line="360" w:lineRule="auto"/>
        <w:shd w:val="clear" w:color="auto"/>
        <w:widowControl/>
        <w:rPr>
          <w:rFonts w:hint="eastAsia" w:ascii="宋体" w:hAnsi="宋体" w:cs="微软雅黑"/>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784"/>
        <w:numPr>
          <w:ilvl w:val="0"/>
          <w:numId w:val="0"/>
        </w:numPr>
        <w:jc w:val="center"/>
        <w:spacing w:line="360" w:lineRule="auto"/>
        <w:shd w:val="clear" w:color="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24"/>
        <w:ind w:firstLine="420"/>
        <w:spacing w:before="300" w:after="452" w:line="360" w:lineRule="auto"/>
        <w:shd w:val="clear" w:color="auto"/>
        <w:widowControl/>
        <w:rPr>
          <w:rFonts w:hint="eastAsia" w:ascii="宋体" w:hAnsi="宋体"/>
          <w:color w:val="auto"/>
          <w:sz w:val="21"/>
          <w:szCs w:val="21"/>
          <w:highlight w:val="none"/>
        </w:rPr>
      </w:pPr>
      <w:r>
        <w:rPr>
          <w:rStyle w:val="830"/>
          <w:rFonts w:hint="eastAsia" w:ascii="宋体" w:hAnsi="宋体" w:cs="仿宋"/>
          <w:color w:val="auto"/>
          <w:sz w:val="21"/>
          <w:szCs w:val="21"/>
          <w:highlight w:val="none"/>
        </w:rPr>
        <w:t xml:space="preserve">中小微企业划型标准如下：</w:t>
      </w:r>
      <w:r/>
    </w:p>
    <w:tbl>
      <w:tblPr>
        <w:tblStyle w:val="79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shd w:val="clear" w:color="auto"/>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4"/>
              <w:jc w:val="center"/>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4"/>
              <w:spacing w:line="360" w:lineRule="auto"/>
              <w:shd w:val="clear" w:color="auto"/>
              <w:widowControl/>
              <w:rPr>
                <w:rFonts w:hint="eastAsia" w:ascii="宋体" w:hAnsi="宋体"/>
                <w:b/>
                <w:bCs/>
                <w:color w:val="auto"/>
                <w:sz w:val="21"/>
                <w:szCs w:val="21"/>
                <w:highlight w:val="none"/>
              </w:rPr>
            </w:pPr>
            <w:r>
              <w:rPr>
                <w:rStyle w:val="830"/>
                <w:rFonts w:hint="eastAsia" w:ascii="宋体" w:hAnsi="宋体" w:cs="仿宋"/>
                <w:color w:val="auto"/>
                <w:sz w:val="21"/>
                <w:szCs w:val="21"/>
                <w:highlight w:val="none"/>
              </w:rPr>
              <w:t xml:space="preserve">X＜10</w:t>
            </w:r>
            <w:r/>
          </w:p>
        </w:tc>
      </w:tr>
    </w:tbl>
    <w:p>
      <w:pPr>
        <w:pStyle w:val="824"/>
        <w:ind w:firstLine="462"/>
        <w:spacing w:before="300" w:after="452" w:line="360" w:lineRule="auto"/>
        <w:shd w:val="clear" w:color="auto"/>
        <w:widowControl/>
        <w:rPr>
          <w:rStyle w:val="830"/>
          <w:rFonts w:hint="eastAsia" w:ascii="宋体" w:hAnsi="宋体" w:cs="仿宋"/>
          <w:color w:val="auto"/>
          <w:sz w:val="21"/>
          <w:szCs w:val="21"/>
          <w:highlight w:val="none"/>
        </w:rPr>
      </w:pPr>
      <w:r>
        <w:rPr>
          <w:rStyle w:val="83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hd w:val="clear" w:color="auto"/>
        <w:rPr>
          <w:rStyle w:val="830"/>
          <w:rFonts w:hint="eastAsia" w:ascii="宋体" w:hAnsi="宋体" w:cs="仿宋"/>
          <w:color w:val="auto"/>
          <w:sz w:val="21"/>
          <w:szCs w:val="21"/>
          <w:highlight w:val="none"/>
        </w:rPr>
      </w:pPr>
      <w:r>
        <w:rPr>
          <w:rStyle w:val="830"/>
          <w:rFonts w:hint="eastAsia" w:ascii="宋体" w:hAnsi="宋体" w:cs="仿宋"/>
          <w:color w:val="auto"/>
          <w:sz w:val="21"/>
          <w:szCs w:val="21"/>
          <w:highlight w:val="none"/>
        </w:rPr>
        <w:br w:type="page" w:clear="all"/>
      </w:r>
      <w:r/>
    </w:p>
    <w:p>
      <w:pPr>
        <w:jc w:val="center"/>
        <w:shd w:val="clear" w:color="auto"/>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24"/>
        <w:ind w:firstLine="420"/>
        <w:spacing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24"/>
        <w:ind w:firstLine="420"/>
        <w:spacing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1.</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834"/>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Cs w:val="24"/>
          <w:highlight w:val="none"/>
          <w:shd w:val="clear" w:color="auto" w:fill="ffffff"/>
        </w:rPr>
        <w:t xml:space="preserve">，生产厂为</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834"/>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Cs w:val="24"/>
          <w:highlight w:val="none"/>
          <w:shd w:val="clear" w:color="auto" w:fill="ffffff"/>
        </w:rPr>
        <w:t xml:space="preserve">，厂址为</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Fonts w:hint="eastAsia" w:ascii="方正魏碑_GBK" w:hAnsi="方正魏碑_GBK" w:eastAsia="方正魏碑_GBK" w:cs="方正魏碑_GBK"/>
          <w:color w:val="auto"/>
          <w:szCs w:val="24"/>
          <w:highlight w:val="none"/>
          <w:u w:val="single"/>
          <w:shd w:val="clear" w:color="auto" w:fill="ffffff"/>
        </w:rPr>
        <w:t xml:space="preserve"> </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34"/>
          <w:rFonts w:ascii="方正魏碑_GBK" w:hAnsi="方正魏碑_GBK" w:eastAsia="方正魏碑_GBK" w:cs="方正魏碑_GBK"/>
          <w:i w:val="0"/>
          <w:color w:val="auto"/>
          <w:sz w:val="24"/>
          <w:szCs w:val="24"/>
          <w:highlight w:val="none"/>
          <w:u w:val="single"/>
          <w:shd w:val="clear" w:color="auto" w:fill="ffffff"/>
        </w:rPr>
        <w:t xml:space="preserve">比例</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34"/>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Cs w:val="24"/>
          <w:highlight w:val="none"/>
          <w:shd w:val="clear" w:color="auto" w:fill="ffffff"/>
        </w:rPr>
        <w:t xml:space="preserve">。</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34"/>
          <w:rFonts w:ascii="方正魏碑_GBK" w:hAnsi="方正魏碑_GBK" w:eastAsia="方正魏碑_GBK" w:cs="方正魏碑_GBK"/>
          <w:i w:val="0"/>
          <w:color w:val="auto"/>
          <w:sz w:val="24"/>
          <w:szCs w:val="24"/>
          <w:highlight w:val="none"/>
          <w:u w:val="single"/>
          <w:shd w:val="clear" w:color="auto" w:fill="ffffff"/>
        </w:rPr>
        <w:t xml:space="preserve">组件</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34"/>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834"/>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2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2.</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，生产厂为</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Cs w:val="24"/>
          <w:highlight w:val="none"/>
          <w:shd w:val="clear" w:color="auto" w:fill="ffffff"/>
        </w:rPr>
        <w:t xml:space="preserve">，厂址为</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34"/>
          <w:rFonts w:ascii="方正魏碑_GBK" w:hAnsi="方正魏碑_GBK" w:eastAsia="方正魏碑_GBK" w:cs="方正魏碑_GBK"/>
          <w:i w:val="0"/>
          <w:color w:val="auto"/>
          <w:sz w:val="24"/>
          <w:szCs w:val="24"/>
          <w:highlight w:val="none"/>
          <w:u w:val="single"/>
          <w:shd w:val="clear" w:color="auto" w:fill="ffffff"/>
        </w:rPr>
        <w:t xml:space="preserve">比例</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34"/>
          <w:rFonts w:ascii="方正魏碑_GBK" w:hAnsi="方正魏碑_GBK" w:eastAsia="方正魏碑_GBK" w:cs="方正魏碑_GBK"/>
          <w:i w:val="0"/>
          <w:color w:val="auto"/>
          <w:sz w:val="24"/>
          <w:szCs w:val="24"/>
          <w:highlight w:val="none"/>
          <w:u w:val="single"/>
          <w:shd w:val="clear" w:color="auto" w:fill="ffffff"/>
        </w:rPr>
        <w:t xml:space="preserve">组件</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34"/>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2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w:t>
      </w:r>
      <w:r/>
    </w:p>
    <w:p>
      <w:pPr>
        <w:pStyle w:val="82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本公司（单位）对上述声明内容的真实性负责。如有虚假，愿承担相应法律责任。</w:t>
      </w:r>
      <w:r/>
    </w:p>
    <w:p>
      <w:pPr>
        <w:pStyle w:val="824"/>
        <w:spacing w:before="30" w:after="30" w:line="0" w:lineRule="atLeast"/>
        <w:shd w:val="clear" w:color="auto"/>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824"/>
        <w:ind w:right="480" w:firstLine="37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公司（单位）名称（盖章）：　        </w:t>
      </w:r>
      <w:r/>
    </w:p>
    <w:p>
      <w:pPr>
        <w:pStyle w:val="824"/>
        <w:jc w:val="center"/>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szCs w:val="24"/>
          <w:highlight w:val="none"/>
          <w:shd w:val="clear" w:color="auto" w:fill="ffffff"/>
        </w:rPr>
        <w:t xml:space="preserve">                    </w:t>
      </w:r>
      <w:r>
        <w:rPr>
          <w:rFonts w:ascii="方正魏碑_GBK" w:hAnsi="方正魏碑_GBK" w:eastAsia="方正魏碑_GBK" w:cs="方正魏碑_GBK"/>
          <w:color w:val="auto"/>
          <w:szCs w:val="24"/>
          <w:highlight w:val="none"/>
          <w:shd w:val="clear" w:color="auto" w:fill="ffffff"/>
        </w:rPr>
        <w:t xml:space="preserve">            </w:t>
      </w:r>
      <w:r>
        <w:rPr>
          <w:rFonts w:hint="eastAsia" w:ascii="方正魏碑_GBK" w:hAnsi="方正魏碑_GBK" w:eastAsia="方正魏碑_GBK" w:cs="方正魏碑_GBK"/>
          <w:color w:val="auto"/>
          <w:szCs w:val="24"/>
          <w:highlight w:val="none"/>
          <w:shd w:val="clear" w:color="auto" w:fill="ffffff"/>
        </w:rPr>
        <w:t xml:space="preserve">日期：　   年　  月　  日    </w:t>
      </w:r>
      <w:r>
        <w:rPr>
          <w:rFonts w:hint="eastAsia" w:ascii="方正魏碑_GBK" w:hAnsi="方正魏碑_GBK" w:eastAsia="方正魏碑_GBK" w:cs="方正魏碑_GBK"/>
          <w:color w:val="auto"/>
          <w:highlight w:val="none"/>
          <w:shd w:val="clear" w:color="auto" w:fill="ffffff"/>
        </w:rPr>
        <w:t xml:space="preserve">     </w:t>
      </w:r>
      <w:r/>
    </w:p>
    <w:p>
      <w:pPr>
        <w:pStyle w:val="824"/>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2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2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2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2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24"/>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24"/>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pStyle w:val="824"/>
        <w:ind w:firstLine="462"/>
        <w:spacing w:before="300" w:after="452" w:line="360" w:lineRule="auto"/>
        <w:shd w:val="clear" w:color="auto"/>
        <w:widowControl/>
        <w:rPr>
          <w:rStyle w:val="830"/>
          <w:rFonts w:hint="eastAsia" w:ascii="宋体" w:hAnsi="宋体" w:cs="仿宋"/>
          <w:color w:val="auto"/>
          <w:sz w:val="21"/>
          <w:szCs w:val="21"/>
          <w:highlight w:val="none"/>
        </w:rPr>
      </w:pPr>
      <w:r>
        <w:rPr>
          <w:rFonts w:hint="eastAsia" w:ascii="宋体" w:hAnsi="宋体" w:cs="仿宋"/>
          <w:color w:val="auto"/>
          <w:sz w:val="21"/>
          <w:szCs w:val="21"/>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pStyle w:val="785"/>
        <w:numPr>
          <w:ilvl w:val="0"/>
          <w:numId w:val="0"/>
        </w:numPr>
        <w:jc w:val="center"/>
        <w:shd w:val="clear" w:color="auto"/>
        <w:rPr>
          <w:rFonts w:hint="eastAsia" w:ascii="宋体" w:hAnsi="宋体"/>
          <w:b w:val="0"/>
          <w:color w:val="auto"/>
          <w:sz w:val="32"/>
          <w:highlight w:val="none"/>
        </w:rPr>
      </w:pPr>
      <w:r>
        <w:rPr>
          <w:rStyle w:val="830"/>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shd w:val="clear" w:color="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项目编号：    </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分包号：</w:t>
      </w:r>
      <w:r>
        <w:rPr>
          <w:rFonts w:hint="eastAsia" w:ascii="宋体" w:hAnsi="宋体"/>
          <w:color w:val="auto"/>
          <w:szCs w:val="21"/>
          <w:highlight w:val="none"/>
        </w:rPr>
        <w:t xml:space="preserve">               </w:t>
      </w:r>
      <w:r/>
    </w:p>
    <w:tbl>
      <w:tblPr>
        <w:tblStyle w:val="79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00"/>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00"/>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29"/>
              <w:ind w:firstLine="420"/>
              <w:spacing w:before="0" w:after="0" w:line="5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29"/>
              <w:ind w:firstLine="420"/>
              <w:spacing w:before="0" w:after="0" w:line="5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697"/>
        </w:trPr>
        <w:tc>
          <w:tcPr>
            <w:tcW w:w="2377" w:type="dxa"/>
            <w:vAlign w:val="center"/>
            <w:textDirection w:val="lrTb"/>
            <w:noWrap w:val="false"/>
          </w:tcPr>
          <w:p>
            <w:pPr>
              <w:pStyle w:val="800"/>
              <w:jc w:val="center"/>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800"/>
              <w:jc w:val="center"/>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80"/>
        <w:shd w:val="clear" w:color="auto"/>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84"/>
        <w:numPr>
          <w:ilvl w:val="0"/>
          <w:numId w:val="0"/>
        </w:numPr>
        <w:ind w:left="2100"/>
        <w:jc w:val="both"/>
        <w:shd w:val="clear" w:color="auto"/>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794"/>
        <w:ind w:firstLine="64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785"/>
        <w:numPr>
          <w:ilvl w:val="0"/>
          <w:numId w:val="0"/>
        </w:numPr>
        <w:jc w:val="center"/>
        <w:shd w:val="clear" w:color="auto"/>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2" w:name="_Toc113352361"/>
      <w:r>
        <w:rPr>
          <w:rFonts w:hint="eastAsia" w:ascii="宋体" w:hAnsi="宋体"/>
          <w:b w:val="0"/>
          <w:color w:val="auto"/>
          <w:sz w:val="32"/>
          <w:highlight w:val="none"/>
        </w:rPr>
        <w:t xml:space="preserve">五、分项报价表</w:t>
      </w:r>
      <w:bookmarkEnd w:id="32"/>
      <w:r/>
      <w:r/>
    </w:p>
    <w:tbl>
      <w:tblPr>
        <w:tblStyle w:val="79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jc w:val="left"/>
        <w:shd w:val="clear" w:color="auto"/>
        <w:widowControl/>
        <w:rPr>
          <w:rFonts w:hint="eastAsia" w:ascii="宋体" w:hAnsi="宋体" w:cs="Arial"/>
          <w:b/>
          <w:bCs/>
          <w:color w:val="auto"/>
          <w:highlight w:val="none"/>
        </w:rPr>
      </w:pPr>
      <w:r>
        <w:rPr>
          <w:rFonts w:hint="eastAsia" w:ascii="宋体" w:hAnsi="宋体" w:cs="Arial"/>
          <w:b/>
          <w:bCs/>
          <w:color w:val="auto"/>
          <w:highlight w:val="none"/>
        </w:rPr>
      </w:r>
      <w:r/>
    </w:p>
    <w:p>
      <w:pPr>
        <w:shd w:val="clear" w:color="auto"/>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pStyle w:val="784"/>
        <w:numPr>
          <w:ilvl w:val="0"/>
          <w:numId w:val="0"/>
        </w:numPr>
        <w:jc w:val="center"/>
        <w:spacing w:before="260" w:after="260" w:line="416" w:lineRule="auto"/>
        <w:shd w:val="clear" w:color="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79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hd w:val="clear" w:color="auto"/>
        <w:rPr>
          <w:rFonts w:ascii="黑体" w:hAnsi="Arial" w:eastAsia="黑体"/>
          <w:b/>
          <w:color w:val="auto"/>
          <w:sz w:val="36"/>
          <w:highlight w:val="none"/>
        </w:rPr>
      </w:pPr>
      <w:r>
        <w:rPr>
          <w:rFonts w:ascii="黑体" w:hAnsi="Arial" w:eastAsia="黑体"/>
          <w:b/>
          <w:color w:val="auto"/>
          <w:sz w:val="36"/>
          <w:highlight w:val="none"/>
        </w:rPr>
      </w:r>
      <w:r/>
    </w:p>
    <w:p>
      <w:pPr>
        <w:shd w:val="clear" w:color="auto"/>
        <w:rPr>
          <w:rFonts w:ascii="黑体" w:hAnsi="Arial" w:eastAsia="黑体"/>
          <w:color w:val="auto"/>
          <w:sz w:val="32"/>
          <w:highlight w:val="none"/>
        </w:rPr>
      </w:pPr>
      <w:r>
        <w:rPr>
          <w:rFonts w:ascii="黑体" w:hAnsi="Arial" w:eastAsia="黑体"/>
          <w:color w:val="auto"/>
          <w:sz w:val="32"/>
          <w:highlight w:val="none"/>
        </w:rPr>
      </w:r>
      <w:r/>
    </w:p>
    <w:p>
      <w:pPr>
        <w:shd w:val="clear" w:color="auto"/>
        <w:rPr>
          <w:rFonts w:ascii="黑体" w:hAnsi="Arial" w:eastAsia="黑体"/>
          <w:color w:val="auto"/>
          <w:sz w:val="32"/>
          <w:highlight w:val="none"/>
        </w:rPr>
      </w:pPr>
      <w:r>
        <w:rPr>
          <w:rFonts w:ascii="黑体" w:hAnsi="Arial" w:eastAsia="黑体"/>
          <w:color w:val="auto"/>
          <w:sz w:val="32"/>
          <w:highlight w:val="none"/>
        </w:rPr>
      </w:r>
      <w:r/>
    </w:p>
    <w:p>
      <w:pPr>
        <w:jc w:val="center"/>
        <w:shd w:val="clear" w:color="auto"/>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793"/>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shd w:val="clear" w:color="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shd w:val="clear" w:color="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shd w:val="clear" w:color="auto"/>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shd w:val="clear" w:color="auto"/>
        <w:rPr>
          <w:rFonts w:ascii="仿宋_GB2312" w:hAnsi="Arial"/>
          <w:color w:val="auto"/>
          <w:sz w:val="30"/>
          <w:highlight w:val="none"/>
        </w:rPr>
      </w:pPr>
      <w:r>
        <w:rPr>
          <w:rFonts w:ascii="仿宋_GB2312" w:hAnsi="Arial"/>
          <w:color w:val="auto"/>
          <w:sz w:val="30"/>
          <w:highlight w:val="none"/>
        </w:rPr>
      </w:r>
      <w:r/>
    </w:p>
    <w:p>
      <w:pPr>
        <w:pStyle w:val="794"/>
        <w:ind w:firstLine="480"/>
        <w:shd w:val="clear" w:color="auto"/>
        <w:rPr>
          <w:rFonts w:hint="eastAsia" w:ascii="宋体" w:hAnsi="宋体"/>
          <w:color w:val="auto"/>
          <w:sz w:val="24"/>
          <w:highlight w:val="none"/>
        </w:rPr>
      </w:pPr>
      <w:r/>
      <w:bookmarkStart w:id="35" w:name="_Hlt26955066"/>
      <w:r/>
      <w:bookmarkEnd w:id="35"/>
      <w:r/>
      <w:bookmarkStart w:id="36" w:name="_Hlt26609389"/>
      <w:r/>
      <w:bookmarkEnd w:id="36"/>
      <w:r/>
      <w:bookmarkStart w:id="37" w:name="_Hlt26671374"/>
      <w:r/>
      <w:bookmarkEnd w:id="37"/>
      <w:r/>
      <w:bookmarkStart w:id="38" w:name="_Toc462564146"/>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t xml:space="preserve">.</w:t>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r>
      <w:r/>
    </w:p>
    <w:p>
      <w:pPr>
        <w:pStyle w:val="794"/>
        <w:ind w:firstLine="643"/>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4"/>
        <w:ind w:firstLine="480"/>
        <w:shd w:val="clear" w:color="auto"/>
        <w:rPr>
          <w:rFonts w:hint="eastAsia" w:ascii="宋体" w:hAnsi="宋体"/>
          <w:color w:val="auto"/>
          <w:sz w:val="24"/>
          <w:highlight w:val="none"/>
        </w:rPr>
      </w:pPr>
      <w:r>
        <w:rPr>
          <w:rFonts w:hint="eastAsia" w:ascii="宋体" w:hAnsi="宋体"/>
          <w:b/>
          <w:color w:val="auto"/>
          <w:sz w:val="32"/>
          <w:szCs w:val="32"/>
          <w:highlight w:val="none"/>
        </w:rPr>
        <w:br w:type="page" w:clear="all"/>
      </w:r>
      <w:bookmarkEnd w:id="38"/>
      <w:r/>
      <w:r/>
    </w:p>
    <w:p>
      <w:pPr>
        <w:pStyle w:val="794"/>
        <w:ind w:firstLine="480"/>
        <w:shd w:val="clear" w:color="auto"/>
        <w:rPr>
          <w:rFonts w:hint="eastAsia" w:ascii="宋体" w:hAnsi="宋体"/>
          <w:color w:val="auto"/>
          <w:sz w:val="24"/>
          <w:highlight w:val="none"/>
        </w:rPr>
      </w:pPr>
      <w:r>
        <w:rPr>
          <w:rFonts w:hint="eastAsia" w:ascii="宋体" w:hAnsi="宋体"/>
          <w:color w:val="auto"/>
          <w:sz w:val="24"/>
          <w:highlight w:val="none"/>
        </w:rPr>
      </w:r>
      <w:r/>
    </w:p>
    <w:p>
      <w:pPr>
        <w:jc w:val="center"/>
        <w:shd w:val="clear" w:color="auto"/>
        <w:widowControl/>
        <w:rPr>
          <w:rFonts w:hint="eastAsia" w:ascii="宋体" w:hAnsi="宋体"/>
          <w:b/>
          <w:color w:val="auto"/>
          <w:highlight w:val="none"/>
        </w:rPr>
      </w:pPr>
      <w:r/>
      <w:bookmarkStart w:id="39" w:name="_格式2__法定代表人授权书"/>
      <w:r/>
      <w:bookmarkEnd w:id="39"/>
      <w:r>
        <w:rPr>
          <w:rFonts w:hint="eastAsia" w:ascii="宋体" w:hAnsi="宋体"/>
          <w:b/>
          <w:color w:val="auto"/>
          <w:highlight w:val="none"/>
        </w:rPr>
        <w:t xml:space="preserve">主要标的信息（中标后将公示）</w:t>
      </w:r>
      <w:r/>
    </w:p>
    <w:p>
      <w:pPr>
        <w:spacing w:after="312" w:line="360" w:lineRule="auto"/>
        <w:shd w:val="clear" w:color="auto"/>
        <w:rPr>
          <w:rFonts w:hint="eastAsia" w:ascii="宋体" w:hAnsi="宋体"/>
          <w:b/>
          <w:color w:val="auto"/>
          <w:highlight w:val="none"/>
        </w:rPr>
      </w:pPr>
      <w:r>
        <w:rPr>
          <w:rFonts w:hint="eastAsia" w:ascii="宋体" w:hAnsi="宋体"/>
          <w:color w:val="auto"/>
          <w:highlight w:val="none"/>
        </w:rPr>
        <w:t xml:space="preserve">投标人全称：</w:t>
      </w:r>
      <w:r/>
    </w:p>
    <w:tbl>
      <w:tblPr>
        <w:tblStyle w:val="79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Style w:val="1210"/>
      </w:rPr>
    </w:pPr>
    <w:r/>
    <w:r/>
  </w:p>
  <w:p>
    <w:pPr>
      <w:pStyle w:val="120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rFonts w:hint="eastAsia" w:ascii="宋体" w:hAnsi="宋体" w:cs="宋体"/>
        <w:lang w:eastAsia="zh-CN"/>
      </w:rPr>
      <w:t xml:space="preserve">JSZC-321000-JSWC-G2026-0013</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rFonts w:hint="eastAsia" w:ascii="宋体" w:hAnsi="宋体" w:cs="宋体"/>
        <w:lang w:eastAsia="zh-CN"/>
      </w:rPr>
      <w:t xml:space="preserve">JSZC-321000-JSWC-G2026-0013</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single" w:color="auto" w:sz="4" w:space="1"/>
      </w:pBdr>
    </w:pPr>
    <w:r>
      <w:rPr>
        <w:rFonts w:hint="eastAsia"/>
        <w:lang w:eastAsia="zh-CN"/>
      </w:rPr>
      <w:t xml:space="preserve">JSZC-321000-JSWC-G2026-0013</w:t>
    </w:r>
    <w:r>
      <w:rPr>
        <w:rFonts w:hint="eastAsia"/>
      </w:rPr>
      <w:t xml:space="preserve">号                                      江苏唯诚建设咨询有限公司</w:t>
    </w:r>
    <w:r/>
  </w:p>
  <w:p>
    <w:pPr>
      <w:pStyle w:val="81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30"/>
      <w:isLgl/>
      <w:suff w:val="tab"/>
      <w:lvlText w:val="%1.%2"/>
      <w:lvlJc w:val="left"/>
      <w:pPr>
        <w:ind w:left="0" w:firstLine="0"/>
        <w:tabs>
          <w:tab w:val="left" w:pos="851" w:leader="none"/>
        </w:tabs>
      </w:pPr>
    </w:lvl>
    <w:lvl w:ilvl="2">
      <w:start w:val="1"/>
      <w:numFmt w:val="decimal"/>
      <w:pStyle w:val="111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1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86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84"/>
      <w:isLgl w:val="false"/>
      <w:suff w:val="space"/>
      <w:lvlText w:val="%1.%2"/>
      <w:lvlJc w:val="left"/>
      <w:pPr>
        <w:ind w:left="851" w:hanging="567"/>
      </w:pPr>
      <w:rPr>
        <w:rFonts w:hint="default" w:ascii="Arial" w:hAnsi="Arial" w:eastAsia="黑体"/>
        <w:b/>
        <w:i w:val="0"/>
        <w:sz w:val="28"/>
        <w:szCs w:val="28"/>
      </w:rPr>
    </w:lvl>
    <w:lvl w:ilvl="2">
      <w:start w:val="1"/>
      <w:numFmt w:val="decimal"/>
      <w:pStyle w:val="78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2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4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3">
    <w:name w:val="Heading 1"/>
    <w:basedOn w:val="782"/>
    <w:next w:val="782"/>
    <w:link w:val="1023"/>
    <w:uiPriority w:val="9"/>
    <w:qFormat/>
    <w:pPr>
      <w:keepLines/>
      <w:keepNext/>
      <w:spacing w:before="340" w:after="330" w:line="578" w:lineRule="auto"/>
      <w:outlineLvl w:val="0"/>
    </w:pPr>
    <w:rPr>
      <w:b/>
      <w:bCs/>
      <w:sz w:val="44"/>
      <w:szCs w:val="44"/>
    </w:rPr>
  </w:style>
  <w:style w:type="paragraph" w:styleId="784">
    <w:name w:val="Heading 2"/>
    <w:basedOn w:val="782"/>
    <w:next w:val="794"/>
    <w:link w:val="1024"/>
    <w:uiPriority w:val="9"/>
    <w:qFormat/>
    <w:pPr>
      <w:numPr>
        <w:ilvl w:val="1"/>
        <w:numId w:val="1"/>
      </w:numPr>
      <w:jc w:val="left"/>
      <w:keepLines/>
      <w:keepNext/>
      <w:spacing w:before="312" w:after="312"/>
      <w:outlineLvl w:val="1"/>
    </w:pPr>
    <w:rPr>
      <w:rFonts w:ascii="Arial" w:hAnsi="Arial"/>
      <w:b/>
      <w:bCs/>
      <w:sz w:val="28"/>
      <w:szCs w:val="36"/>
    </w:rPr>
  </w:style>
  <w:style w:type="paragraph" w:styleId="785">
    <w:name w:val="Heading 3"/>
    <w:basedOn w:val="782"/>
    <w:next w:val="782"/>
    <w:link w:val="102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86">
    <w:name w:val="Heading 4"/>
    <w:basedOn w:val="782"/>
    <w:next w:val="782"/>
    <w:link w:val="1027"/>
    <w:uiPriority w:val="0"/>
    <w:qFormat/>
    <w:pPr>
      <w:spacing w:before="280" w:after="290" w:line="377" w:lineRule="auto"/>
      <w:outlineLvl w:val="3"/>
    </w:pPr>
    <w:rPr>
      <w:rFonts w:ascii="Arial" w:hAnsi="Arial" w:eastAsia="黑体"/>
      <w:b/>
      <w:bCs/>
      <w:sz w:val="28"/>
      <w:szCs w:val="28"/>
    </w:rPr>
  </w:style>
  <w:style w:type="paragraph" w:styleId="787">
    <w:name w:val="Heading 5"/>
    <w:basedOn w:val="782"/>
    <w:next w:val="782"/>
    <w:link w:val="1028"/>
    <w:uiPriority w:val="0"/>
    <w:qFormat/>
    <w:pPr>
      <w:keepLines/>
      <w:keepNext/>
      <w:spacing w:before="280" w:after="290" w:line="376" w:lineRule="auto"/>
      <w:outlineLvl w:val="4"/>
    </w:pPr>
    <w:rPr>
      <w:rFonts w:ascii="Calibri" w:hAnsi="Calibri"/>
      <w:b/>
      <w:bCs/>
      <w:sz w:val="28"/>
      <w:szCs w:val="28"/>
    </w:rPr>
  </w:style>
  <w:style w:type="paragraph" w:styleId="788">
    <w:name w:val="Heading 6"/>
    <w:basedOn w:val="782"/>
    <w:next w:val="782"/>
    <w:link w:val="1029"/>
    <w:uiPriority w:val="0"/>
    <w:qFormat/>
    <w:pPr>
      <w:ind w:left="1152" w:hanging="1152"/>
      <w:keepLines/>
      <w:keepNext/>
      <w:spacing w:before="240" w:after="64" w:line="320" w:lineRule="auto"/>
      <w:outlineLvl w:val="5"/>
    </w:pPr>
    <w:rPr>
      <w:rFonts w:ascii="Cambria" w:hAnsi="Cambria"/>
      <w:b/>
      <w:bCs/>
      <w:sz w:val="24"/>
      <w:szCs w:val="24"/>
    </w:rPr>
  </w:style>
  <w:style w:type="paragraph" w:styleId="789">
    <w:name w:val="Heading 7"/>
    <w:basedOn w:val="782"/>
    <w:next w:val="782"/>
    <w:link w:val="1030"/>
    <w:uiPriority w:val="0"/>
    <w:qFormat/>
    <w:pPr>
      <w:ind w:left="1296" w:hanging="1296"/>
      <w:keepLines/>
      <w:keepNext/>
      <w:spacing w:before="240" w:after="64" w:line="320" w:lineRule="auto"/>
      <w:outlineLvl w:val="6"/>
    </w:pPr>
    <w:rPr>
      <w:b/>
      <w:bCs/>
      <w:sz w:val="24"/>
      <w:szCs w:val="24"/>
    </w:rPr>
  </w:style>
  <w:style w:type="paragraph" w:styleId="790">
    <w:name w:val="Heading 8"/>
    <w:basedOn w:val="782"/>
    <w:next w:val="782"/>
    <w:link w:val="1031"/>
    <w:uiPriority w:val="0"/>
    <w:qFormat/>
    <w:pPr>
      <w:ind w:left="1440" w:hanging="1440"/>
      <w:keepLines/>
      <w:keepNext/>
      <w:spacing w:before="240" w:after="64" w:line="320" w:lineRule="auto"/>
      <w:outlineLvl w:val="7"/>
    </w:pPr>
    <w:rPr>
      <w:rFonts w:ascii="Cambria" w:hAnsi="Cambria"/>
      <w:sz w:val="24"/>
      <w:szCs w:val="24"/>
    </w:rPr>
  </w:style>
  <w:style w:type="paragraph" w:styleId="791">
    <w:name w:val="Heading 9"/>
    <w:basedOn w:val="782"/>
    <w:next w:val="782"/>
    <w:link w:val="1032"/>
    <w:uiPriority w:val="0"/>
    <w:qFormat/>
    <w:pPr>
      <w:ind w:left="1584" w:hanging="1584"/>
      <w:keepLines/>
      <w:keepNext/>
      <w:spacing w:before="240" w:after="64" w:line="320" w:lineRule="auto"/>
      <w:outlineLvl w:val="8"/>
    </w:pPr>
    <w:rPr>
      <w:rFonts w:ascii="Cambria" w:hAnsi="Cambria"/>
      <w:sz w:val="20"/>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link w:val="1025"/>
    <w:uiPriority w:val="0"/>
    <w:unhideWhenUsed/>
    <w:qFormat/>
    <w:pPr>
      <w:ind w:firstLine="420"/>
    </w:pPr>
  </w:style>
  <w:style w:type="paragraph" w:styleId="795">
    <w:name w:val="toc 7"/>
    <w:basedOn w:val="782"/>
    <w:next w:val="782"/>
    <w:uiPriority w:val="39"/>
    <w:unhideWhenUsed/>
    <w:qFormat/>
    <w:pPr>
      <w:ind w:left="1701"/>
      <w:spacing w:after="57"/>
    </w:pPr>
  </w:style>
  <w:style w:type="paragraph" w:styleId="796">
    <w:name w:val="Caption"/>
    <w:basedOn w:val="782"/>
    <w:next w:val="782"/>
    <w:uiPriority w:val="0"/>
    <w:qFormat/>
    <w:rPr>
      <w:rFonts w:ascii="Arial" w:hAnsi="Arial" w:eastAsia="黑体"/>
      <w:sz w:val="20"/>
    </w:rPr>
  </w:style>
  <w:style w:type="paragraph" w:styleId="797">
    <w:name w:val="Document Map"/>
    <w:basedOn w:val="782"/>
    <w:link w:val="1033"/>
    <w:uiPriority w:val="0"/>
    <w:qFormat/>
    <w:rPr>
      <w:rFonts w:ascii="宋体"/>
      <w:sz w:val="18"/>
      <w:szCs w:val="18"/>
    </w:rPr>
  </w:style>
  <w:style w:type="paragraph" w:styleId="798">
    <w:name w:val="annotation text"/>
    <w:basedOn w:val="782"/>
    <w:link w:val="1034"/>
    <w:uiPriority w:val="99"/>
    <w:unhideWhenUsed/>
    <w:qFormat/>
    <w:pPr>
      <w:jc w:val="left"/>
    </w:pPr>
    <w:rPr>
      <w:sz w:val="20"/>
      <w:szCs w:val="24"/>
    </w:rPr>
  </w:style>
  <w:style w:type="paragraph" w:styleId="799">
    <w:name w:val="Body Text 3"/>
    <w:basedOn w:val="782"/>
    <w:link w:val="1035"/>
    <w:uiPriority w:val="0"/>
    <w:qFormat/>
    <w:rPr>
      <w:rFonts w:ascii="宋体"/>
      <w:sz w:val="24"/>
      <w:szCs w:val="20"/>
    </w:rPr>
  </w:style>
  <w:style w:type="paragraph" w:styleId="800">
    <w:name w:val="Body Text"/>
    <w:basedOn w:val="782"/>
    <w:link w:val="1036"/>
    <w:uiPriority w:val="0"/>
    <w:qFormat/>
    <w:rPr>
      <w:rFonts w:ascii="楷体_GB2312" w:hAnsi="Arial" w:eastAsia="楷体_GB2312"/>
      <w:sz w:val="28"/>
      <w:szCs w:val="28"/>
    </w:rPr>
  </w:style>
  <w:style w:type="paragraph" w:styleId="801">
    <w:name w:val="Body Text Indent"/>
    <w:basedOn w:val="782"/>
    <w:next w:val="782"/>
    <w:link w:val="1037"/>
    <w:uiPriority w:val="99"/>
    <w:qFormat/>
    <w:pPr>
      <w:ind w:left="420"/>
      <w:spacing w:after="120"/>
    </w:pPr>
    <w:rPr>
      <w:sz w:val="20"/>
      <w:szCs w:val="24"/>
    </w:rPr>
  </w:style>
  <w:style w:type="paragraph" w:styleId="802">
    <w:name w:val="List Bullet 2"/>
    <w:basedOn w:val="782"/>
    <w:uiPriority w:val="99"/>
    <w:unhideWhenUsed/>
    <w:qFormat/>
    <w:pPr>
      <w:ind w:left="780" w:hanging="360"/>
      <w:tabs>
        <w:tab w:val="left" w:pos="780" w:leader="none"/>
      </w:tabs>
    </w:p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840"/>
    </w:pPr>
    <w:rPr>
      <w:rFonts w:ascii="Calibri" w:hAnsi="Calibri"/>
    </w:rPr>
  </w:style>
  <w:style w:type="paragraph" w:styleId="805">
    <w:name w:val="Plain Text"/>
    <w:basedOn w:val="782"/>
    <w:link w:val="1038"/>
    <w:uiPriority w:val="0"/>
    <w:qFormat/>
    <w:rPr>
      <w:rFonts w:ascii="宋体" w:hAnsi="Courier New"/>
      <w:sz w:val="20"/>
      <w:szCs w:val="21"/>
    </w:rPr>
  </w:style>
  <w:style w:type="paragraph" w:styleId="806">
    <w:name w:val="toc 8"/>
    <w:basedOn w:val="782"/>
    <w:next w:val="782"/>
    <w:uiPriority w:val="39"/>
    <w:unhideWhenUsed/>
    <w:qFormat/>
    <w:pPr>
      <w:ind w:left="1984"/>
      <w:spacing w:after="57"/>
    </w:pPr>
  </w:style>
  <w:style w:type="paragraph" w:styleId="807">
    <w:name w:val="Body Text Indent 2"/>
    <w:basedOn w:val="782"/>
    <w:link w:val="1039"/>
    <w:uiPriority w:val="0"/>
    <w:qFormat/>
    <w:pPr>
      <w:ind w:firstLine="562"/>
      <w:spacing w:line="480" w:lineRule="exact"/>
    </w:pPr>
    <w:rPr>
      <w:rFonts w:ascii="楷体_GB2312" w:eastAsia="楷体_GB2312"/>
      <w:b/>
      <w:bCs/>
      <w:sz w:val="28"/>
      <w:szCs w:val="24"/>
    </w:rPr>
  </w:style>
  <w:style w:type="paragraph" w:styleId="808">
    <w:name w:val="endnote text"/>
    <w:basedOn w:val="782"/>
    <w:link w:val="1014"/>
    <w:uiPriority w:val="99"/>
    <w:semiHidden/>
    <w:unhideWhenUsed/>
    <w:qFormat/>
    <w:rPr>
      <w:sz w:val="20"/>
    </w:rPr>
  </w:style>
  <w:style w:type="paragraph" w:styleId="809">
    <w:name w:val="Balloon Text"/>
    <w:basedOn w:val="782"/>
    <w:link w:val="1040"/>
    <w:uiPriority w:val="99"/>
    <w:unhideWhenUsed/>
    <w:qFormat/>
    <w:rPr>
      <w:sz w:val="18"/>
      <w:szCs w:val="18"/>
    </w:rPr>
  </w:style>
  <w:style w:type="paragraph" w:styleId="810">
    <w:name w:val="Footer"/>
    <w:basedOn w:val="782"/>
    <w:link w:val="1041"/>
    <w:uiPriority w:val="99"/>
    <w:unhideWhenUsed/>
    <w:qFormat/>
    <w:pPr>
      <w:jc w:val="left"/>
      <w:tabs>
        <w:tab w:val="center" w:pos="4153" w:leader="none"/>
        <w:tab w:val="right" w:pos="8306" w:leader="none"/>
      </w:tabs>
    </w:pPr>
    <w:rPr>
      <w:sz w:val="18"/>
      <w:szCs w:val="18"/>
    </w:rPr>
  </w:style>
  <w:style w:type="paragraph" w:styleId="811">
    <w:name w:val="envelope return"/>
    <w:basedOn w:val="782"/>
    <w:uiPriority w:val="0"/>
    <w:qFormat/>
    <w:rPr>
      <w:rFonts w:ascii="Arial" w:hAnsi="Arial"/>
    </w:rPr>
  </w:style>
  <w:style w:type="paragraph" w:styleId="812">
    <w:name w:val="Header"/>
    <w:basedOn w:val="782"/>
    <w:link w:val="10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2"/>
    <w:next w:val="782"/>
    <w:uiPriority w:val="39"/>
    <w:unhideWhenUsed/>
    <w:qFormat/>
    <w:rPr>
      <w:rFonts w:ascii="Calibri" w:hAnsi="Calibri"/>
    </w:rPr>
  </w:style>
  <w:style w:type="paragraph" w:styleId="814">
    <w:name w:val="toc 4"/>
    <w:basedOn w:val="782"/>
    <w:next w:val="782"/>
    <w:uiPriority w:val="39"/>
    <w:unhideWhenUsed/>
    <w:qFormat/>
    <w:pPr>
      <w:ind w:left="850"/>
      <w:spacing w:after="57"/>
    </w:pPr>
  </w:style>
  <w:style w:type="paragraph" w:styleId="815">
    <w:name w:val="Subtitle"/>
    <w:basedOn w:val="782"/>
    <w:next w:val="782"/>
    <w:link w:val="880"/>
    <w:uiPriority w:val="11"/>
    <w:qFormat/>
    <w:pPr>
      <w:spacing w:before="200" w:after="200"/>
    </w:pPr>
    <w:rPr>
      <w:sz w:val="24"/>
      <w:szCs w:val="24"/>
    </w:rPr>
  </w:style>
  <w:style w:type="paragraph" w:styleId="816">
    <w:name w:val="List"/>
    <w:basedOn w:val="782"/>
    <w:uiPriority w:val="99"/>
    <w:qFormat/>
    <w:pPr>
      <w:ind w:left="200" w:hanging="200"/>
    </w:pPr>
    <w:rPr>
      <w:szCs w:val="24"/>
    </w:rPr>
  </w:style>
  <w:style w:type="paragraph" w:styleId="817">
    <w:name w:val="footnote text"/>
    <w:basedOn w:val="782"/>
    <w:link w:val="1013"/>
    <w:uiPriority w:val="99"/>
    <w:semiHidden/>
    <w:unhideWhenUsed/>
    <w:qFormat/>
    <w:pPr>
      <w:spacing w:after="40"/>
    </w:pPr>
    <w:rPr>
      <w:sz w:val="18"/>
    </w:rPr>
  </w:style>
  <w:style w:type="paragraph" w:styleId="818">
    <w:name w:val="toc 6"/>
    <w:basedOn w:val="782"/>
    <w:next w:val="782"/>
    <w:uiPriority w:val="39"/>
    <w:unhideWhenUsed/>
    <w:qFormat/>
    <w:pPr>
      <w:ind w:left="1417"/>
      <w:spacing w:after="57"/>
    </w:pPr>
  </w:style>
  <w:style w:type="paragraph" w:styleId="819">
    <w:name w:val="Body Text Indent 3"/>
    <w:basedOn w:val="782"/>
    <w:uiPriority w:val="0"/>
    <w:qFormat/>
    <w:pPr>
      <w:ind w:left="3599" w:hanging="3599"/>
    </w:pPr>
    <w:rPr>
      <w:sz w:val="21"/>
      <w:szCs w:val="24"/>
    </w:rPr>
  </w:style>
  <w:style w:type="paragraph" w:styleId="820">
    <w:name w:val="table of figures"/>
    <w:basedOn w:val="782"/>
    <w:next w:val="782"/>
    <w:uiPriority w:val="0"/>
    <w:semiHidden/>
    <w:qFormat/>
    <w:pPr>
      <w:ind w:left="840" w:hanging="420"/>
      <w:spacing w:before="156" w:after="156"/>
    </w:pPr>
    <w:rPr>
      <w:sz w:val="24"/>
      <w:szCs w:val="24"/>
    </w:rPr>
  </w:style>
  <w:style w:type="paragraph" w:styleId="821">
    <w:name w:val="toc 2"/>
    <w:basedOn w:val="782"/>
    <w:next w:val="782"/>
    <w:uiPriority w:val="39"/>
    <w:unhideWhenUsed/>
    <w:qFormat/>
    <w:pPr>
      <w:ind w:left="420"/>
    </w:pPr>
    <w:rPr>
      <w:rFonts w:ascii="Calibri" w:hAnsi="Calibri"/>
    </w:rPr>
  </w:style>
  <w:style w:type="paragraph" w:styleId="822">
    <w:name w:val="toc 9"/>
    <w:basedOn w:val="782"/>
    <w:next w:val="782"/>
    <w:uiPriority w:val="0"/>
    <w:semiHidden/>
    <w:qFormat/>
    <w:pPr>
      <w:ind w:left="3360"/>
    </w:pPr>
  </w:style>
  <w:style w:type="paragraph" w:styleId="823">
    <w:name w:val="Body Text 2"/>
    <w:basedOn w:val="782"/>
    <w:uiPriority w:val="0"/>
    <w:qFormat/>
    <w:pPr>
      <w:spacing w:after="120" w:line="480" w:lineRule="auto"/>
    </w:pPr>
  </w:style>
  <w:style w:type="paragraph" w:styleId="824">
    <w:name w:val="Normal (Web)"/>
    <w:basedOn w:val="782"/>
    <w:uiPriority w:val="99"/>
    <w:unhideWhenUsed/>
    <w:qFormat/>
    <w:rPr>
      <w:sz w:val="24"/>
    </w:rPr>
  </w:style>
  <w:style w:type="paragraph" w:styleId="825">
    <w:name w:val="Title"/>
    <w:basedOn w:val="782"/>
    <w:next w:val="782"/>
    <w:link w:val="879"/>
    <w:uiPriority w:val="10"/>
    <w:qFormat/>
    <w:pPr>
      <w:contextualSpacing/>
      <w:spacing w:before="300" w:after="200"/>
    </w:pPr>
    <w:rPr>
      <w:sz w:val="48"/>
      <w:szCs w:val="48"/>
    </w:rPr>
  </w:style>
  <w:style w:type="paragraph" w:styleId="826">
    <w:name w:val="annotation subject"/>
    <w:basedOn w:val="798"/>
    <w:next w:val="798"/>
    <w:link w:val="1043"/>
    <w:uiPriority w:val="99"/>
    <w:unhideWhenUsed/>
    <w:qFormat/>
    <w:rPr>
      <w:b/>
      <w:bCs/>
      <w:szCs w:val="20"/>
    </w:rPr>
  </w:style>
  <w:style w:type="paragraph" w:styleId="827">
    <w:name w:val="Body Text First Indent"/>
    <w:basedOn w:val="800"/>
    <w:uiPriority w:val="0"/>
    <w:qFormat/>
    <w:pPr>
      <w:ind w:left="300" w:firstLine="420"/>
      <w:spacing w:after="120"/>
    </w:pPr>
    <w:rPr>
      <w:rFonts w:ascii="宋体" w:hAnsi="Verdana"/>
      <w:lang w:val="en-GB"/>
    </w:rPr>
  </w:style>
  <w:style w:type="paragraph" w:styleId="828">
    <w:name w:val="Body Text First Indent 2"/>
    <w:basedOn w:val="801"/>
    <w:link w:val="1044"/>
    <w:uiPriority w:val="99"/>
    <w:qFormat/>
    <w:pPr>
      <w:ind w:firstLine="420"/>
    </w:pPr>
  </w:style>
  <w:style w:type="table" w:styleId="829">
    <w:name w:val="Table Grid"/>
    <w:basedOn w:val="793"/>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Strong"/>
    <w:uiPriority w:val="22"/>
    <w:qFormat/>
    <w:rPr>
      <w:rFonts w:ascii="Tahoma" w:hAnsi="Tahoma" w:eastAsia="宋体"/>
      <w:b/>
      <w:bCs/>
      <w:spacing w:val="10"/>
      <w:sz w:val="24"/>
      <w:lang w:val="en-US" w:eastAsia="zh-CN" w:bidi="ar-SA"/>
    </w:rPr>
  </w:style>
  <w:style w:type="character" w:styleId="831">
    <w:name w:val="endnote reference"/>
    <w:basedOn w:val="792"/>
    <w:uiPriority w:val="99"/>
    <w:semiHidden/>
    <w:unhideWhenUsed/>
    <w:qFormat/>
    <w:rPr>
      <w:vertAlign w:val="superscript"/>
    </w:rPr>
  </w:style>
  <w:style w:type="character" w:styleId="832">
    <w:name w:val="page number"/>
    <w:uiPriority w:val="0"/>
    <w:qFormat/>
  </w:style>
  <w:style w:type="character" w:styleId="833">
    <w:name w:val="FollowedHyperlink"/>
    <w:uiPriority w:val="99"/>
    <w:unhideWhenUsed/>
    <w:qFormat/>
    <w:rPr>
      <w:color w:val="333333"/>
      <w:u w:val="none"/>
    </w:rPr>
  </w:style>
  <w:style w:type="character" w:styleId="834">
    <w:name w:val="Emphasis"/>
    <w:uiPriority w:val="0"/>
    <w:qFormat/>
    <w:rPr>
      <w:rFonts w:ascii="Times New Roman" w:hAnsi="Times New Roman"/>
      <w:i/>
      <w:iCs/>
      <w:sz w:val="21"/>
      <w:szCs w:val="20"/>
    </w:rPr>
  </w:style>
  <w:style w:type="character" w:styleId="835">
    <w:name w:val="HTML Definition"/>
    <w:uiPriority w:val="99"/>
    <w:unhideWhenUsed/>
    <w:qFormat/>
    <w:rPr>
      <w:i/>
    </w:rPr>
  </w:style>
  <w:style w:type="character" w:styleId="836">
    <w:name w:val="Hyperlink"/>
    <w:uiPriority w:val="99"/>
    <w:unhideWhenUsed/>
    <w:qFormat/>
    <w:rPr>
      <w:color w:val="333333"/>
      <w:u w:val="none"/>
    </w:rPr>
  </w:style>
  <w:style w:type="character" w:styleId="837">
    <w:name w:val="HTML Code"/>
    <w:uiPriority w:val="99"/>
    <w:unhideWhenUsed/>
    <w:qFormat/>
    <w:rPr>
      <w:rFonts w:ascii="Consolas" w:hAnsi="Consolas" w:eastAsia="Consolas" w:cs="Consolas"/>
      <w:color w:val="c7254e"/>
      <w:sz w:val="21"/>
      <w:szCs w:val="21"/>
      <w:shd w:val="clear" w:color="auto" w:fill="f9f2f4"/>
    </w:rPr>
  </w:style>
  <w:style w:type="character" w:styleId="838">
    <w:name w:val="annotation reference"/>
    <w:uiPriority w:val="99"/>
    <w:unhideWhenUsed/>
    <w:qFormat/>
    <w:rPr>
      <w:sz w:val="21"/>
      <w:szCs w:val="21"/>
    </w:rPr>
  </w:style>
  <w:style w:type="character" w:styleId="839">
    <w:name w:val="footnote reference"/>
    <w:basedOn w:val="792"/>
    <w:uiPriority w:val="99"/>
    <w:unhideWhenUsed/>
    <w:qFormat/>
    <w:rPr>
      <w:vertAlign w:val="superscript"/>
    </w:rPr>
  </w:style>
  <w:style w:type="character" w:styleId="840">
    <w:name w:val="HTML Keyboard"/>
    <w:uiPriority w:val="99"/>
    <w:unhideWhenUsed/>
    <w:qFormat/>
    <w:rPr>
      <w:rFonts w:hint="default" w:ascii="Consolas" w:hAnsi="Consolas" w:eastAsia="Consolas" w:cs="Consolas"/>
      <w:color w:val="ffffff"/>
      <w:sz w:val="21"/>
      <w:szCs w:val="21"/>
      <w:shd w:val="clear" w:color="auto" w:fill="333333"/>
    </w:rPr>
  </w:style>
  <w:style w:type="character" w:styleId="841">
    <w:name w:val="HTML Sample"/>
    <w:uiPriority w:val="99"/>
    <w:unhideWhenUsed/>
    <w:qFormat/>
    <w:rPr>
      <w:rFonts w:hint="default" w:ascii="Consolas" w:hAnsi="Consolas" w:eastAsia="Consolas" w:cs="Consolas"/>
      <w:sz w:val="21"/>
      <w:szCs w:val="21"/>
    </w:rPr>
  </w:style>
  <w:style w:type="character" w:styleId="842" w:customStyle="1">
    <w:name w:val="Title Char"/>
    <w:basedOn w:val="792"/>
    <w:uiPriority w:val="10"/>
    <w:qFormat/>
    <w:rPr>
      <w:sz w:val="48"/>
      <w:szCs w:val="48"/>
    </w:rPr>
  </w:style>
  <w:style w:type="character" w:styleId="843" w:customStyle="1">
    <w:name w:val="Subtitle Char"/>
    <w:basedOn w:val="792"/>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table" w:styleId="846"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ListBullet21"/>
    <w:basedOn w:val="782"/>
    <w:uiPriority w:val="0"/>
    <w:qFormat/>
    <w:pPr>
      <w:numPr>
        <w:ilvl w:val="0"/>
        <w:numId w:val="2"/>
      </w:numPr>
    </w:pPr>
  </w:style>
  <w:style w:type="character" w:styleId="869" w:customStyle="1">
    <w:name w:val="Heading 1 Char"/>
    <w:basedOn w:val="792"/>
    <w:uiPriority w:val="9"/>
    <w:qFormat/>
    <w:rPr>
      <w:rFonts w:ascii="Arial" w:hAnsi="Arial" w:eastAsia="Arial" w:cs="Arial"/>
      <w:sz w:val="40"/>
      <w:szCs w:val="40"/>
    </w:rPr>
  </w:style>
  <w:style w:type="character" w:styleId="870" w:customStyle="1">
    <w:name w:val="Heading 2 Char"/>
    <w:basedOn w:val="792"/>
    <w:uiPriority w:val="9"/>
    <w:qFormat/>
    <w:rPr>
      <w:rFonts w:ascii="Arial" w:hAnsi="Arial" w:eastAsia="Arial" w:cs="Arial"/>
      <w:sz w:val="34"/>
    </w:rPr>
  </w:style>
  <w:style w:type="character" w:styleId="871" w:customStyle="1">
    <w:name w:val="Heading 3 Char"/>
    <w:basedOn w:val="792"/>
    <w:uiPriority w:val="9"/>
    <w:qFormat/>
    <w:rPr>
      <w:rFonts w:ascii="Arial" w:hAnsi="Arial" w:eastAsia="Arial" w:cs="Arial"/>
      <w:sz w:val="30"/>
      <w:szCs w:val="30"/>
    </w:rPr>
  </w:style>
  <w:style w:type="character" w:styleId="872" w:customStyle="1">
    <w:name w:val="Heading 4 Char"/>
    <w:basedOn w:val="792"/>
    <w:uiPriority w:val="9"/>
    <w:qFormat/>
    <w:rPr>
      <w:rFonts w:ascii="Arial" w:hAnsi="Arial" w:eastAsia="Arial" w:cs="Arial"/>
      <w:b/>
      <w:bCs/>
      <w:sz w:val="26"/>
      <w:szCs w:val="26"/>
    </w:rPr>
  </w:style>
  <w:style w:type="character" w:styleId="873" w:customStyle="1">
    <w:name w:val="Heading 5 Char"/>
    <w:basedOn w:val="792"/>
    <w:uiPriority w:val="9"/>
    <w:qFormat/>
    <w:rPr>
      <w:rFonts w:ascii="Arial" w:hAnsi="Arial" w:eastAsia="Arial" w:cs="Arial"/>
      <w:b/>
      <w:bCs/>
      <w:sz w:val="24"/>
      <w:szCs w:val="24"/>
    </w:rPr>
  </w:style>
  <w:style w:type="character" w:styleId="874" w:customStyle="1">
    <w:name w:val="Heading 6 Char"/>
    <w:basedOn w:val="792"/>
    <w:uiPriority w:val="9"/>
    <w:qFormat/>
    <w:rPr>
      <w:rFonts w:ascii="Arial" w:hAnsi="Arial" w:eastAsia="Arial" w:cs="Arial"/>
      <w:b/>
      <w:bCs/>
      <w:sz w:val="22"/>
      <w:szCs w:val="22"/>
    </w:rPr>
  </w:style>
  <w:style w:type="character" w:styleId="875" w:customStyle="1">
    <w:name w:val="Heading 8 Char"/>
    <w:basedOn w:val="792"/>
    <w:uiPriority w:val="9"/>
    <w:qFormat/>
    <w:rPr>
      <w:rFonts w:ascii="Arial" w:hAnsi="Arial" w:eastAsia="Arial" w:cs="Arial"/>
      <w:i/>
      <w:iCs/>
      <w:sz w:val="22"/>
      <w:szCs w:val="22"/>
    </w:rPr>
  </w:style>
  <w:style w:type="character" w:styleId="876" w:customStyle="1">
    <w:name w:val="Heading 9 Char"/>
    <w:basedOn w:val="792"/>
    <w:uiPriority w:val="9"/>
    <w:qFormat/>
    <w:rPr>
      <w:rFonts w:ascii="Arial" w:hAnsi="Arial" w:eastAsia="Arial" w:cs="Arial"/>
      <w:i/>
      <w:iCs/>
      <w:sz w:val="21"/>
      <w:szCs w:val="21"/>
    </w:rPr>
  </w:style>
  <w:style w:type="paragraph" w:styleId="877">
    <w:name w:val="List Paragraph"/>
    <w:basedOn w:val="782"/>
    <w:uiPriority w:val="34"/>
    <w:qFormat/>
    <w:pPr>
      <w:contextualSpacing/>
      <w:ind w:left="720"/>
    </w:pPr>
  </w:style>
  <w:style w:type="paragraph" w:styleId="878">
    <w:name w:val="No Spacing"/>
    <w:uiPriority w:val="1"/>
    <w:qFormat/>
    <w:rPr>
      <w:rFonts w:hint="default" w:ascii="Times New Roman" w:hAnsi="Times New Roman" w:eastAsia="宋体" w:cs="Times New Roman"/>
      <w:lang w:val="en-US" w:eastAsia="zh-CN" w:bidi="ar-SA"/>
    </w:rPr>
  </w:style>
  <w:style w:type="character" w:styleId="879" w:customStyle="1">
    <w:name w:val="标题 字符"/>
    <w:basedOn w:val="792"/>
    <w:link w:val="825"/>
    <w:uiPriority w:val="10"/>
    <w:qFormat/>
    <w:rPr>
      <w:sz w:val="48"/>
      <w:szCs w:val="48"/>
    </w:rPr>
  </w:style>
  <w:style w:type="character" w:styleId="880" w:customStyle="1">
    <w:name w:val="副标题 字符"/>
    <w:basedOn w:val="792"/>
    <w:link w:val="815"/>
    <w:uiPriority w:val="11"/>
    <w:qFormat/>
    <w:rPr>
      <w:sz w:val="24"/>
      <w:szCs w:val="24"/>
    </w:rPr>
  </w:style>
  <w:style w:type="paragraph" w:styleId="881">
    <w:name w:val="Quote"/>
    <w:basedOn w:val="782"/>
    <w:next w:val="782"/>
    <w:link w:val="882"/>
    <w:uiPriority w:val="29"/>
    <w:qFormat/>
    <w:pPr>
      <w:ind w:left="720" w:right="720"/>
    </w:pPr>
    <w:rPr>
      <w:i/>
    </w:rPr>
  </w:style>
  <w:style w:type="character" w:styleId="882" w:customStyle="1">
    <w:name w:val="引用 字符"/>
    <w:link w:val="881"/>
    <w:uiPriority w:val="29"/>
    <w:qFormat/>
    <w:rPr>
      <w:i/>
    </w:rPr>
  </w:style>
  <w:style w:type="paragraph" w:styleId="883">
    <w:name w:val="Intense Quote"/>
    <w:basedOn w:val="782"/>
    <w:next w:val="782"/>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qFormat/>
    <w:rPr>
      <w:i/>
    </w:rPr>
  </w:style>
  <w:style w:type="character" w:styleId="885" w:customStyle="1">
    <w:name w:val="Header Char"/>
    <w:basedOn w:val="792"/>
    <w:uiPriority w:val="99"/>
    <w:qFormat/>
  </w:style>
  <w:style w:type="character" w:styleId="886" w:customStyle="1">
    <w:name w:val="Footer Char"/>
    <w:basedOn w:val="792"/>
    <w:uiPriority w:val="99"/>
    <w:qFormat/>
  </w:style>
  <w:style w:type="character" w:styleId="887" w:customStyle="1">
    <w:name w:val="Caption Char"/>
    <w:uiPriority w:val="99"/>
    <w:qFormat/>
  </w:style>
  <w:style w:type="table" w:styleId="888"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basedOn w:val="7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basedOn w:val="7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basedOn w:val="7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basedOn w:val="7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basedOn w:val="7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basedOn w:val="7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basedOn w:val="7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basedOn w:val="7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basedOn w:val="7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basedOn w:val="7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basedOn w:val="7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basedOn w:val="7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basedOn w:val="7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basedOn w:val="7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basedOn w:val="7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basedOn w:val="7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9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79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79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7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7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7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9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9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9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9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9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9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basedOn w:val="7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basedOn w:val="7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basedOn w:val="7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basedOn w:val="7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basedOn w:val="7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脚注文本 字符"/>
    <w:link w:val="817"/>
    <w:uiPriority w:val="99"/>
    <w:qFormat/>
    <w:rPr>
      <w:sz w:val="18"/>
    </w:rPr>
  </w:style>
  <w:style w:type="character" w:styleId="1014" w:customStyle="1">
    <w:name w:val="尾注文本 字符"/>
    <w:link w:val="808"/>
    <w:uiPriority w:val="99"/>
    <w:qFormat/>
    <w:rPr>
      <w:sz w:val="20"/>
    </w:rPr>
  </w:style>
  <w:style w:type="paragraph" w:styleId="1015" w:customStyle="1">
    <w:name w:val="TOC 标题1"/>
    <w:uiPriority w:val="39"/>
    <w:unhideWhenUsed/>
    <w:qFormat/>
    <w:rPr>
      <w:rFonts w:hint="default" w:ascii="Times New Roman" w:hAnsi="Times New Roman" w:eastAsia="宋体" w:cs="Times New Roman"/>
      <w:lang w:val="en-US" w:eastAsia="zh-CN" w:bidi="ar-SA"/>
    </w:rPr>
  </w:style>
  <w:style w:type="paragraph" w:styleId="1016" w:customStyle="1">
    <w:name w:val="正文（缩进）"/>
    <w:basedOn w:val="782"/>
    <w:next w:val="1017"/>
    <w:uiPriority w:val="0"/>
    <w:qFormat/>
    <w:pPr>
      <w:ind w:firstLine="480"/>
    </w:pPr>
  </w:style>
  <w:style w:type="paragraph" w:styleId="1017" w:customStyle="1">
    <w:name w:val="Char Char Char Char Char Char Char Char Char"/>
    <w:basedOn w:val="782"/>
    <w:next w:val="1018"/>
    <w:uiPriority w:val="99"/>
    <w:qFormat/>
    <w:pPr>
      <w:ind w:left="360" w:firstLine="5784"/>
    </w:pPr>
  </w:style>
  <w:style w:type="paragraph" w:styleId="1018" w:customStyle="1">
    <w:name w:val="正文文本 21"/>
    <w:basedOn w:val="782"/>
    <w:next w:val="1019"/>
    <w:uiPriority w:val="99"/>
    <w:qFormat/>
    <w:pPr>
      <w:ind w:left="720" w:firstLine="5680"/>
      <w:widowControl/>
    </w:pPr>
  </w:style>
  <w:style w:type="paragraph" w:styleId="1019" w:customStyle="1">
    <w:name w:val="默认段落字体 Para Char Char Char Char Char Char Char"/>
    <w:basedOn w:val="782"/>
    <w:next w:val="1020"/>
    <w:uiPriority w:val="99"/>
    <w:qFormat/>
    <w:pPr>
      <w:ind w:firstLine="200"/>
    </w:pPr>
    <w:rPr>
      <w:rFonts w:cs="Arial"/>
    </w:rPr>
  </w:style>
  <w:style w:type="paragraph" w:styleId="1020" w:customStyle="1">
    <w:name w:val="样式 首行缩进:  2 字符"/>
    <w:basedOn w:val="782"/>
    <w:next w:val="1021"/>
    <w:uiPriority w:val="99"/>
    <w:qFormat/>
    <w:pPr>
      <w:ind w:left="480" w:firstLine="5856"/>
      <w:spacing w:line="360" w:lineRule="auto"/>
    </w:pPr>
  </w:style>
  <w:style w:type="paragraph" w:styleId="1021" w:customStyle="1">
    <w:name w:val="样式 段后: 0.25 行"/>
    <w:basedOn w:val="782"/>
    <w:next w:val="1022"/>
    <w:uiPriority w:val="99"/>
    <w:qFormat/>
    <w:pPr>
      <w:ind w:left="420" w:firstLine="5796"/>
      <w:spacing w:line="300" w:lineRule="auto"/>
      <w:widowControl/>
    </w:pPr>
  </w:style>
  <w:style w:type="paragraph" w:styleId="1022" w:customStyle="1">
    <w:name w:val="正文 New New New New New New New New New New New New New New"/>
    <w:next w:val="822"/>
    <w:uiPriority w:val="99"/>
    <w:qFormat/>
    <w:pPr>
      <w:ind w:firstLine="2048"/>
      <w:jc w:val="both"/>
      <w:widowControl w:val="off"/>
    </w:pPr>
    <w:rPr>
      <w:rFonts w:hint="default" w:ascii="Calibri" w:hAnsi="Calibri" w:eastAsia="宋体" w:cs="Times New Roman"/>
      <w:lang w:val="en-US" w:eastAsia="zh-CN" w:bidi="ar-SA"/>
    </w:rPr>
  </w:style>
  <w:style w:type="character" w:styleId="1023" w:customStyle="1">
    <w:name w:val="标题 1 字符"/>
    <w:link w:val="783"/>
    <w:uiPriority w:val="9"/>
    <w:qFormat/>
    <w:rPr>
      <w:b/>
      <w:bCs/>
      <w:sz w:val="44"/>
      <w:szCs w:val="44"/>
    </w:rPr>
  </w:style>
  <w:style w:type="character" w:styleId="1024" w:customStyle="1">
    <w:name w:val="标题 2 字符"/>
    <w:link w:val="784"/>
    <w:uiPriority w:val="9"/>
    <w:qFormat/>
    <w:rPr>
      <w:rFonts w:ascii="Arial" w:hAnsi="Arial" w:eastAsia="宋体" w:cs="Times New Roman"/>
      <w:b/>
      <w:bCs/>
      <w:sz w:val="28"/>
      <w:szCs w:val="36"/>
    </w:rPr>
  </w:style>
  <w:style w:type="character" w:styleId="1025" w:customStyle="1">
    <w:name w:val="正文缩进 字符"/>
    <w:link w:val="794"/>
    <w:uiPriority w:val="0"/>
    <w:qFormat/>
  </w:style>
  <w:style w:type="character" w:styleId="1026" w:customStyle="1">
    <w:name w:val="标题 3 字符"/>
    <w:link w:val="785"/>
    <w:uiPriority w:val="0"/>
    <w:qFormat/>
    <w:rPr>
      <w:rFonts w:ascii="Arial" w:hAnsi="Arial" w:eastAsia="黑体" w:cs="Times New Roman"/>
      <w:b/>
      <w:bCs/>
      <w:sz w:val="30"/>
      <w:szCs w:val="32"/>
    </w:rPr>
  </w:style>
  <w:style w:type="character" w:styleId="1027" w:customStyle="1">
    <w:name w:val="标题 4 字符"/>
    <w:link w:val="786"/>
    <w:uiPriority w:val="0"/>
    <w:qFormat/>
    <w:rPr>
      <w:rFonts w:ascii="Arial" w:hAnsi="Arial" w:eastAsia="黑体" w:cs="Arial"/>
      <w:b/>
      <w:bCs/>
      <w:sz w:val="28"/>
      <w:szCs w:val="28"/>
    </w:rPr>
  </w:style>
  <w:style w:type="character" w:styleId="1028" w:customStyle="1">
    <w:name w:val="标题 5 字符1"/>
    <w:link w:val="787"/>
    <w:uiPriority w:val="0"/>
    <w:qFormat/>
    <w:rPr>
      <w:rFonts w:ascii="Calibri" w:hAnsi="Calibri" w:eastAsia="宋体" w:cs="Times New Roman"/>
      <w:b/>
      <w:bCs/>
      <w:sz w:val="28"/>
      <w:szCs w:val="28"/>
    </w:rPr>
  </w:style>
  <w:style w:type="character" w:styleId="1029" w:customStyle="1">
    <w:name w:val="标题 6 字符"/>
    <w:link w:val="788"/>
    <w:uiPriority w:val="0"/>
    <w:qFormat/>
    <w:rPr>
      <w:rFonts w:ascii="Cambria" w:hAnsi="Cambria" w:eastAsia="宋体" w:cs="Times New Roman"/>
      <w:b/>
      <w:bCs/>
      <w:sz w:val="24"/>
      <w:szCs w:val="24"/>
    </w:rPr>
  </w:style>
  <w:style w:type="character" w:styleId="1030" w:customStyle="1">
    <w:name w:val="标题 7 字符"/>
    <w:link w:val="789"/>
    <w:uiPriority w:val="0"/>
    <w:qFormat/>
    <w:rPr>
      <w:rFonts w:ascii="Times New Roman" w:hAnsi="Times New Roman" w:eastAsia="宋体" w:cs="Times New Roman"/>
      <w:b/>
      <w:bCs/>
      <w:sz w:val="24"/>
      <w:szCs w:val="24"/>
    </w:rPr>
  </w:style>
  <w:style w:type="character" w:styleId="1031" w:customStyle="1">
    <w:name w:val="标题 8 字符"/>
    <w:link w:val="790"/>
    <w:uiPriority w:val="0"/>
    <w:qFormat/>
    <w:rPr>
      <w:rFonts w:ascii="Cambria" w:hAnsi="Cambria" w:eastAsia="宋体" w:cs="Times New Roman"/>
      <w:sz w:val="24"/>
      <w:szCs w:val="24"/>
    </w:rPr>
  </w:style>
  <w:style w:type="character" w:styleId="1032" w:customStyle="1">
    <w:name w:val="标题 9 字符"/>
    <w:link w:val="791"/>
    <w:uiPriority w:val="0"/>
    <w:qFormat/>
    <w:rPr>
      <w:rFonts w:ascii="Cambria" w:hAnsi="Cambria" w:eastAsia="宋体" w:cs="Times New Roman"/>
      <w:sz w:val="20"/>
      <w:szCs w:val="21"/>
    </w:rPr>
  </w:style>
  <w:style w:type="character" w:styleId="1033" w:customStyle="1">
    <w:name w:val="文档结构图 字符"/>
    <w:link w:val="797"/>
    <w:uiPriority w:val="0"/>
    <w:qFormat/>
    <w:rPr>
      <w:rFonts w:ascii="宋体" w:hAnsi="Times New Roman"/>
      <w:sz w:val="18"/>
      <w:szCs w:val="18"/>
    </w:rPr>
  </w:style>
  <w:style w:type="character" w:styleId="1034" w:customStyle="1">
    <w:name w:val="批注文字 字符"/>
    <w:link w:val="798"/>
    <w:uiPriority w:val="99"/>
    <w:qFormat/>
    <w:rPr>
      <w:rFonts w:ascii="Times New Roman" w:hAnsi="Times New Roman" w:eastAsia="宋体" w:cs="Times New Roman"/>
      <w:szCs w:val="24"/>
    </w:rPr>
  </w:style>
  <w:style w:type="character" w:styleId="1035" w:customStyle="1">
    <w:name w:val="正文文本 3 字符"/>
    <w:link w:val="799"/>
    <w:uiPriority w:val="0"/>
    <w:qFormat/>
    <w:rPr>
      <w:rFonts w:ascii="宋体" w:hAnsi="Times New Roman"/>
      <w:sz w:val="24"/>
    </w:rPr>
  </w:style>
  <w:style w:type="character" w:styleId="1036" w:customStyle="1">
    <w:name w:val="正文文本 字符"/>
    <w:link w:val="800"/>
    <w:uiPriority w:val="0"/>
    <w:qFormat/>
    <w:rPr>
      <w:rFonts w:ascii="楷体_GB2312" w:hAnsi="Arial" w:eastAsia="楷体_GB2312" w:cs="Times New Roman"/>
      <w:sz w:val="28"/>
      <w:szCs w:val="28"/>
    </w:rPr>
  </w:style>
  <w:style w:type="character" w:styleId="1037" w:customStyle="1">
    <w:name w:val="正文文本缩进 字符"/>
    <w:link w:val="801"/>
    <w:uiPriority w:val="99"/>
    <w:qFormat/>
    <w:rPr>
      <w:rFonts w:ascii="Times New Roman" w:hAnsi="Times New Roman"/>
      <w:szCs w:val="24"/>
    </w:rPr>
  </w:style>
  <w:style w:type="character" w:styleId="1038" w:customStyle="1">
    <w:name w:val="纯文本 字符"/>
    <w:link w:val="805"/>
    <w:uiPriority w:val="0"/>
    <w:qFormat/>
    <w:rPr>
      <w:rFonts w:ascii="宋体" w:hAnsi="Courier New" w:eastAsia="宋体" w:cs="Times New Roman"/>
      <w:szCs w:val="21"/>
    </w:rPr>
  </w:style>
  <w:style w:type="character" w:styleId="1039" w:customStyle="1">
    <w:name w:val="正文文本缩进 2 字符"/>
    <w:link w:val="807"/>
    <w:uiPriority w:val="0"/>
    <w:qFormat/>
    <w:rPr>
      <w:rFonts w:ascii="楷体_GB2312" w:hAnsi="Times New Roman" w:eastAsia="楷体_GB2312"/>
      <w:b/>
      <w:bCs/>
      <w:sz w:val="28"/>
      <w:szCs w:val="24"/>
    </w:rPr>
  </w:style>
  <w:style w:type="character" w:styleId="1040" w:customStyle="1">
    <w:name w:val="批注框文本 字符"/>
    <w:link w:val="809"/>
    <w:uiPriority w:val="99"/>
    <w:qFormat/>
    <w:rPr>
      <w:sz w:val="18"/>
      <w:szCs w:val="18"/>
    </w:rPr>
  </w:style>
  <w:style w:type="character" w:styleId="1041" w:customStyle="1">
    <w:name w:val="页脚 字符"/>
    <w:link w:val="810"/>
    <w:uiPriority w:val="99"/>
    <w:qFormat/>
    <w:rPr>
      <w:rFonts w:ascii="Times New Roman" w:hAnsi="Times New Roman" w:eastAsia="宋体" w:cs="Times New Roman"/>
      <w:sz w:val="18"/>
      <w:szCs w:val="18"/>
    </w:rPr>
  </w:style>
  <w:style w:type="character" w:styleId="1042" w:customStyle="1">
    <w:name w:val="页眉 字符"/>
    <w:link w:val="812"/>
    <w:uiPriority w:val="99"/>
    <w:qFormat/>
    <w:rPr>
      <w:rFonts w:ascii="Times New Roman" w:hAnsi="Times New Roman" w:eastAsia="宋体" w:cs="Times New Roman"/>
      <w:sz w:val="18"/>
      <w:szCs w:val="18"/>
    </w:rPr>
  </w:style>
  <w:style w:type="character" w:styleId="1043" w:customStyle="1">
    <w:name w:val="批注主题 字符"/>
    <w:link w:val="826"/>
    <w:uiPriority w:val="99"/>
    <w:qFormat/>
    <w:rPr>
      <w:b/>
      <w:bCs/>
    </w:rPr>
  </w:style>
  <w:style w:type="character" w:styleId="1044" w:customStyle="1">
    <w:name w:val="正文文本首行缩进 2 字符"/>
    <w:link w:val="828"/>
    <w:uiPriority w:val="99"/>
    <w:qFormat/>
    <w:rPr>
      <w:szCs w:val="24"/>
    </w:rPr>
  </w:style>
  <w:style w:type="paragraph" w:styleId="1045" w:customStyle="1">
    <w:name w:val="ListBullet2"/>
    <w:basedOn w:val="782"/>
    <w:uiPriority w:val="0"/>
    <w:qFormat/>
    <w:pPr>
      <w:numPr>
        <w:ilvl w:val="0"/>
        <w:numId w:val="3"/>
      </w:numPr>
    </w:pPr>
  </w:style>
  <w:style w:type="paragraph" w:styleId="1046" w:customStyle="1">
    <w:name w:val="正文1"/>
    <w:basedOn w:val="782"/>
    <w:next w:val="1047"/>
    <w:link w:val="1053"/>
    <w:uiPriority w:val="99"/>
    <w:qFormat/>
    <w:pPr>
      <w:ind w:firstLine="480"/>
      <w:spacing w:line="440" w:lineRule="exact"/>
    </w:pPr>
    <w:rPr>
      <w:rFonts w:ascii="微软雅黑" w:hAnsi="微软雅黑" w:eastAsia="微软雅黑"/>
      <w:sz w:val="24"/>
      <w:szCs w:val="20"/>
    </w:rPr>
  </w:style>
  <w:style w:type="paragraph" w:styleId="1047" w:customStyle="1">
    <w:name w:val="正文文本1"/>
    <w:basedOn w:val="1046"/>
    <w:next w:val="1048"/>
    <w:uiPriority w:val="0"/>
    <w:qFormat/>
    <w:pPr>
      <w:spacing w:after="120"/>
    </w:pPr>
    <w:rPr>
      <w:lang w:eastAsia="en-US"/>
    </w:rPr>
  </w:style>
  <w:style w:type="paragraph" w:styleId="1048" w:customStyle="1">
    <w:name w:val="一级条标题"/>
    <w:basedOn w:val="1049"/>
    <w:next w:val="10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10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0" w:customStyle="1">
    <w:name w:val="正文11"/>
    <w:next w:val="10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标题 31"/>
    <w:basedOn w:val="782"/>
    <w:next w:val="1050"/>
    <w:uiPriority w:val="0"/>
    <w:qFormat/>
    <w:pPr>
      <w:keepLines/>
      <w:keepNext/>
      <w:spacing w:before="260" w:after="260" w:line="416" w:lineRule="auto"/>
      <w:outlineLvl w:val="2"/>
    </w:pPr>
    <w:rPr>
      <w:b/>
      <w:bCs/>
      <w:sz w:val="32"/>
      <w:szCs w:val="32"/>
    </w:rPr>
  </w:style>
  <w:style w:type="paragraph" w:styleId="1052" w:customStyle="1">
    <w:name w:val="段"/>
    <w:next w:val="105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53" w:customStyle="1">
    <w:name w:val="正文1 Char Char"/>
    <w:link w:val="1046"/>
    <w:uiPriority w:val="99"/>
    <w:qFormat/>
    <w:rPr>
      <w:rFonts w:ascii="微软雅黑" w:hAnsi="微软雅黑" w:eastAsia="微软雅黑"/>
      <w:sz w:val="24"/>
    </w:rPr>
  </w:style>
  <w:style w:type="character" w:styleId="1054" w:customStyle="1">
    <w:name w:val="ca-161"/>
    <w:uiPriority w:val="0"/>
    <w:qFormat/>
    <w:rPr>
      <w:rFonts w:hint="eastAsia" w:ascii="宋体" w:hAnsi="宋体" w:eastAsia="宋体"/>
      <w:spacing w:val="0"/>
      <w:sz w:val="21"/>
      <w:szCs w:val="21"/>
    </w:rPr>
  </w:style>
  <w:style w:type="character" w:styleId="1055" w:customStyle="1">
    <w:name w:val="列出段落 Char"/>
    <w:link w:val="1056"/>
    <w:uiPriority w:val="0"/>
    <w:qFormat/>
    <w:rPr>
      <w:rFonts w:ascii="Calibri" w:hAnsi="Calibri" w:eastAsia="宋体" w:cs="Times New Roman"/>
    </w:rPr>
  </w:style>
  <w:style w:type="paragraph" w:styleId="1056" w:customStyle="1">
    <w:name w:val="列出段落1"/>
    <w:basedOn w:val="782"/>
    <w:link w:val="1055"/>
    <w:uiPriority w:val="0"/>
    <w:qFormat/>
    <w:pPr>
      <w:ind w:firstLine="200"/>
    </w:pPr>
    <w:rPr>
      <w:rFonts w:ascii="Calibri" w:hAnsi="Calibri"/>
      <w:sz w:val="20"/>
      <w:szCs w:val="20"/>
    </w:rPr>
  </w:style>
  <w:style w:type="character" w:styleId="1057" w:customStyle="1">
    <w:name w:val="表格文字 Char"/>
    <w:link w:val="1058"/>
    <w:uiPriority w:val="0"/>
    <w:qFormat/>
    <w:rPr>
      <w:szCs w:val="21"/>
    </w:rPr>
  </w:style>
  <w:style w:type="paragraph" w:styleId="1058" w:customStyle="1">
    <w:name w:val="表格文字"/>
    <w:basedOn w:val="782"/>
    <w:link w:val="1057"/>
    <w:uiPriority w:val="0"/>
    <w:qFormat/>
    <w:pPr>
      <w:jc w:val="left"/>
    </w:pPr>
    <w:rPr>
      <w:sz w:val="20"/>
      <w:szCs w:val="21"/>
    </w:rPr>
  </w:style>
  <w:style w:type="character" w:styleId="1059" w:customStyle="1">
    <w:name w:val="标题 5 字符"/>
    <w:uiPriority w:val="0"/>
    <w:semiHidden/>
    <w:qFormat/>
    <w:rPr>
      <w:rFonts w:ascii="Calibri" w:hAnsi="Calibri"/>
      <w:b/>
      <w:bCs/>
      <w:sz w:val="28"/>
      <w:szCs w:val="28"/>
    </w:rPr>
  </w:style>
  <w:style w:type="character" w:styleId="1060" w:customStyle="1">
    <w:name w:val="文档结构图 Char1"/>
    <w:uiPriority w:val="99"/>
    <w:semiHidden/>
    <w:qFormat/>
    <w:rPr>
      <w:rFonts w:ascii="宋体"/>
      <w:sz w:val="18"/>
      <w:szCs w:val="18"/>
    </w:rPr>
  </w:style>
  <w:style w:type="character" w:styleId="1061" w:customStyle="1">
    <w:name w:val="font201"/>
    <w:uiPriority w:val="0"/>
    <w:qFormat/>
    <w:rPr>
      <w:rFonts w:hint="default" w:ascii="Times New Roman" w:hAnsi="Times New Roman" w:cs="Times New Roman"/>
      <w:color w:val="000000"/>
      <w:sz w:val="20"/>
      <w:szCs w:val="20"/>
      <w:u w:val="none"/>
    </w:rPr>
  </w:style>
  <w:style w:type="character" w:styleId="1062" w:customStyle="1">
    <w:name w:val="_Style 86"/>
    <w:uiPriority w:val="19"/>
    <w:qFormat/>
    <w:rPr>
      <w:rFonts w:ascii="Times New Roman" w:hAnsi="Times New Roman"/>
      <w:i/>
      <w:iCs/>
      <w:color w:val="808080"/>
      <w:sz w:val="21"/>
      <w:szCs w:val="20"/>
    </w:rPr>
  </w:style>
  <w:style w:type="character" w:styleId="1063" w:customStyle="1">
    <w:name w:val="H2 Char"/>
    <w:uiPriority w:val="0"/>
    <w:qFormat/>
    <w:rPr>
      <w:rFonts w:ascii="Arial" w:hAnsi="Arial" w:eastAsia="黑体" w:cs="Times New Roman"/>
      <w:b/>
      <w:bCs/>
      <w:sz w:val="32"/>
      <w:szCs w:val="32"/>
    </w:rPr>
  </w:style>
  <w:style w:type="character" w:styleId="1064" w:customStyle="1">
    <w:name w:val="font41"/>
    <w:uiPriority w:val="0"/>
    <w:qFormat/>
    <w:rPr>
      <w:rFonts w:hint="eastAsia" w:ascii="宋体" w:hAnsi="宋体" w:eastAsia="宋体"/>
      <w:color w:val="000000"/>
      <w:sz w:val="32"/>
      <w:szCs w:val="32"/>
      <w:u w:val="none"/>
    </w:rPr>
  </w:style>
  <w:style w:type="character" w:styleId="1065" w:customStyle="1">
    <w:name w:val="font191"/>
    <w:uiPriority w:val="0"/>
    <w:qFormat/>
    <w:rPr>
      <w:rFonts w:ascii="Wingdings 2" w:hAnsi="Wingdings 2" w:eastAsia="Wingdings 2" w:cs="Wingdings 2"/>
      <w:color w:val="000000"/>
      <w:sz w:val="20"/>
      <w:szCs w:val="20"/>
      <w:u w:val="none"/>
    </w:rPr>
  </w:style>
  <w:style w:type="character" w:styleId="1066" w:customStyle="1">
    <w:name w:val="font231"/>
    <w:uiPriority w:val="0"/>
    <w:qFormat/>
    <w:rPr>
      <w:rFonts w:hint="eastAsia" w:ascii="宋体" w:hAnsi="宋体" w:eastAsia="宋体" w:cs="宋体"/>
      <w:color w:val="000000"/>
      <w:sz w:val="20"/>
      <w:szCs w:val="20"/>
      <w:u w:val="none"/>
    </w:rPr>
  </w:style>
  <w:style w:type="character" w:styleId="1067" w:customStyle="1">
    <w:name w:val="font241"/>
    <w:uiPriority w:val="0"/>
    <w:qFormat/>
    <w:rPr>
      <w:rFonts w:hint="eastAsia" w:ascii="宋体" w:hAnsi="宋体" w:eastAsia="宋体" w:cs="宋体"/>
      <w:color w:val="000000"/>
      <w:sz w:val="20"/>
      <w:szCs w:val="20"/>
      <w:u w:val="none"/>
    </w:rPr>
  </w:style>
  <w:style w:type="character" w:styleId="1068" w:customStyle="1">
    <w:name w:val="Char Char9"/>
    <w:uiPriority w:val="0"/>
    <w:qFormat/>
    <w:rPr>
      <w:rFonts w:ascii="等线 Light" w:hAnsi="等线 Light" w:eastAsia="等线 Light" w:cs="Times New Roman"/>
      <w:b/>
      <w:bCs/>
      <w:sz w:val="28"/>
      <w:szCs w:val="28"/>
    </w:rPr>
  </w:style>
  <w:style w:type="character" w:styleId="1069" w:customStyle="1">
    <w:name w:val="Char Char10"/>
    <w:uiPriority w:val="0"/>
    <w:qFormat/>
    <w:rPr>
      <w:rFonts w:ascii="Arial" w:hAnsi="Arial" w:eastAsia="黑体" w:cs="Times New Roman"/>
      <w:b/>
      <w:bCs/>
      <w:sz w:val="30"/>
      <w:szCs w:val="32"/>
    </w:rPr>
  </w:style>
  <w:style w:type="character" w:styleId="1070" w:customStyle="1">
    <w:name w:val="表格样式居左 Char"/>
    <w:link w:val="1071"/>
    <w:uiPriority w:val="0"/>
    <w:qFormat/>
    <w:rPr>
      <w:rFonts w:eastAsia="仿宋_GB2312"/>
      <w:bCs/>
      <w:color w:val="000000"/>
      <w:sz w:val="21"/>
      <w:szCs w:val="44"/>
      <w:lang w:val="en-US" w:eastAsia="zh-CN" w:bidi="ar-SA"/>
    </w:rPr>
  </w:style>
  <w:style w:type="paragraph" w:styleId="1071" w:customStyle="1">
    <w:name w:val="表格样式居左"/>
    <w:link w:val="107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72" w:customStyle="1">
    <w:name w:val="font101"/>
    <w:uiPriority w:val="0"/>
    <w:qFormat/>
    <w:rPr>
      <w:rFonts w:hint="eastAsia" w:ascii="宋体" w:hAnsi="宋体" w:eastAsia="宋体" w:cs="宋体"/>
      <w:b/>
      <w:color w:val="000000"/>
      <w:sz w:val="18"/>
      <w:szCs w:val="18"/>
      <w:u w:val="none"/>
    </w:rPr>
  </w:style>
  <w:style w:type="character" w:styleId="1073" w:customStyle="1">
    <w:name w:val="段落 Char1"/>
    <w:link w:val="1074"/>
    <w:uiPriority w:val="0"/>
    <w:qFormat/>
    <w:rPr>
      <w:rFonts w:eastAsia="仿宋_GB2312"/>
      <w:sz w:val="32"/>
      <w:szCs w:val="32"/>
      <w:lang w:val="en-US" w:eastAsia="zh-CN" w:bidi="ar-SA"/>
    </w:rPr>
  </w:style>
  <w:style w:type="paragraph" w:styleId="1074" w:customStyle="1">
    <w:name w:val="段落"/>
    <w:link w:val="1073"/>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75" w:customStyle="1">
    <w:name w:val="font131"/>
    <w:uiPriority w:val="0"/>
    <w:qFormat/>
    <w:rPr>
      <w:rFonts w:ascii="Wingdings 2" w:hAnsi="Wingdings 2" w:eastAsia="Wingdings 2" w:cs="Wingdings 2"/>
      <w:color w:val="000000"/>
      <w:sz w:val="20"/>
      <w:szCs w:val="20"/>
      <w:u w:val="none"/>
    </w:rPr>
  </w:style>
  <w:style w:type="character" w:styleId="1076" w:customStyle="1">
    <w:name w:val="一级缩进 Char"/>
    <w:link w:val="1077"/>
    <w:uiPriority w:val="0"/>
    <w:qFormat/>
    <w:rPr>
      <w:rFonts w:eastAsia="仿宋_GB2312"/>
      <w:sz w:val="32"/>
      <w:szCs w:val="32"/>
      <w:lang w:val="en-US" w:eastAsia="zh-CN" w:bidi="ar-SA"/>
    </w:rPr>
  </w:style>
  <w:style w:type="paragraph" w:styleId="1077" w:customStyle="1">
    <w:name w:val="一级缩进"/>
    <w:link w:val="1076"/>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78" w:customStyle="1">
    <w:name w:val="正文文本 3 Char1"/>
    <w:uiPriority w:val="99"/>
    <w:semiHidden/>
    <w:qFormat/>
    <w:rPr>
      <w:sz w:val="16"/>
      <w:szCs w:val="16"/>
    </w:rPr>
  </w:style>
  <w:style w:type="character" w:styleId="1079" w:customStyle="1">
    <w:name w:val="apple-style-span"/>
    <w:uiPriority w:val="0"/>
    <w:qFormat/>
  </w:style>
  <w:style w:type="character" w:styleId="1080" w:customStyle="1">
    <w:name w:val="批注框文本 Char1"/>
    <w:uiPriority w:val="99"/>
    <w:semiHidden/>
    <w:qFormat/>
    <w:rPr>
      <w:rFonts w:ascii="Times New Roman" w:hAnsi="Times New Roman"/>
      <w:sz w:val="18"/>
      <w:szCs w:val="18"/>
    </w:rPr>
  </w:style>
  <w:style w:type="character" w:styleId="1081" w:customStyle="1">
    <w:name w:val="font221"/>
    <w:uiPriority w:val="0"/>
    <w:qFormat/>
    <w:rPr>
      <w:rFonts w:hint="eastAsia" w:ascii="宋体" w:hAnsi="宋体" w:eastAsia="宋体" w:cs="宋体"/>
      <w:b/>
      <w:color w:val="000000"/>
      <w:sz w:val="20"/>
      <w:szCs w:val="20"/>
      <w:u w:val="none"/>
    </w:rPr>
  </w:style>
  <w:style w:type="character" w:styleId="1082" w:customStyle="1">
    <w:name w:val="font61"/>
    <w:uiPriority w:val="0"/>
    <w:qFormat/>
    <w:rPr>
      <w:rFonts w:hint="eastAsia" w:ascii="宋体" w:hAnsi="宋体" w:eastAsia="宋体" w:cs="宋体"/>
      <w:color w:val="000000"/>
      <w:sz w:val="20"/>
      <w:szCs w:val="20"/>
      <w:u w:val="none"/>
    </w:rPr>
  </w:style>
  <w:style w:type="character" w:styleId="1083" w:customStyle="1">
    <w:name w:val="top_title1"/>
    <w:uiPriority w:val="0"/>
    <w:qFormat/>
    <w:rPr>
      <w:b/>
      <w:bCs/>
      <w:color w:val="333333"/>
      <w:sz w:val="24"/>
      <w:szCs w:val="24"/>
    </w:rPr>
  </w:style>
  <w:style w:type="character" w:styleId="1084" w:customStyle="1">
    <w:name w:val="font81"/>
    <w:uiPriority w:val="0"/>
    <w:qFormat/>
    <w:rPr>
      <w:rFonts w:ascii="Symbol" w:hAnsi="Symbol" w:cs="Symbol"/>
      <w:color w:val="000000"/>
      <w:sz w:val="20"/>
      <w:szCs w:val="20"/>
      <w:u w:val="none"/>
    </w:rPr>
  </w:style>
  <w:style w:type="character" w:styleId="1085" w:customStyle="1">
    <w:name w:val="font141"/>
    <w:uiPriority w:val="0"/>
    <w:qFormat/>
    <w:rPr>
      <w:rFonts w:hint="eastAsia" w:ascii="宋体" w:hAnsi="宋体" w:eastAsia="宋体" w:cs="宋体"/>
      <w:color w:val="ff0000"/>
      <w:sz w:val="20"/>
      <w:szCs w:val="20"/>
      <w:u w:val="none"/>
      <w:vertAlign w:val="superscript"/>
    </w:rPr>
  </w:style>
  <w:style w:type="character" w:styleId="1086" w:customStyle="1">
    <w:name w:val="正文文本缩进 Char1"/>
    <w:uiPriority w:val="99"/>
    <w:semiHidden/>
    <w:qFormat/>
  </w:style>
  <w:style w:type="character" w:styleId="1087" w:customStyle="1">
    <w:name w:val="正文缩进 Char1"/>
    <w:uiPriority w:val="0"/>
    <w:qFormat/>
    <w:rPr>
      <w:rFonts w:ascii="Times New Roman" w:hAnsi="Times New Roman" w:eastAsia="宋体" w:cs="Times New Roman"/>
      <w:szCs w:val="20"/>
    </w:rPr>
  </w:style>
  <w:style w:type="character" w:styleId="1088" w:customStyle="1">
    <w:name w:val="font11"/>
    <w:uiPriority w:val="0"/>
    <w:qFormat/>
    <w:rPr>
      <w:rFonts w:hint="eastAsia" w:ascii="宋体" w:hAnsi="宋体" w:eastAsia="宋体" w:cs="宋体"/>
      <w:color w:val="000000"/>
      <w:sz w:val="20"/>
      <w:szCs w:val="20"/>
      <w:u w:val="none"/>
    </w:rPr>
  </w:style>
  <w:style w:type="character" w:styleId="1089" w:customStyle="1">
    <w:name w:val="表格样式居中 Char"/>
    <w:link w:val="1090"/>
    <w:uiPriority w:val="0"/>
    <w:qFormat/>
    <w:rPr>
      <w:rFonts w:ascii="宋体" w:hAnsi="宋体"/>
      <w:bCs/>
      <w:sz w:val="21"/>
      <w:szCs w:val="21"/>
      <w:lang w:val="zh-CN" w:eastAsia="zh-CN" w:bidi="ar-SA"/>
    </w:rPr>
  </w:style>
  <w:style w:type="paragraph" w:styleId="1090" w:customStyle="1">
    <w:name w:val="表格样式居中"/>
    <w:link w:val="108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91" w:customStyle="1">
    <w:name w:val="正文文本缩进 2 Char1"/>
    <w:uiPriority w:val="99"/>
    <w:semiHidden/>
    <w:qFormat/>
  </w:style>
  <w:style w:type="character" w:styleId="1092" w:customStyle="1">
    <w:name w:val="font161"/>
    <w:uiPriority w:val="0"/>
    <w:qFormat/>
    <w:rPr>
      <w:rFonts w:hint="eastAsia" w:ascii="宋体" w:hAnsi="宋体" w:eastAsia="宋体" w:cs="宋体"/>
      <w:b/>
      <w:color w:val="ff0000"/>
      <w:sz w:val="20"/>
      <w:szCs w:val="20"/>
      <w:u w:val="none"/>
    </w:rPr>
  </w:style>
  <w:style w:type="character" w:styleId="1093" w:customStyle="1">
    <w:name w:val="批注主题 Char1"/>
    <w:uiPriority w:val="99"/>
    <w:semiHidden/>
    <w:qFormat/>
    <w:rPr>
      <w:rFonts w:ascii="Times New Roman" w:hAnsi="Times New Roman" w:eastAsia="宋体" w:cs="Times New Roman"/>
      <w:b/>
      <w:bCs/>
      <w:szCs w:val="24"/>
    </w:rPr>
  </w:style>
  <w:style w:type="character" w:styleId="1094" w:customStyle="1">
    <w:name w:val="font51"/>
    <w:uiPriority w:val="0"/>
    <w:qFormat/>
    <w:rPr>
      <w:rFonts w:hint="eastAsia" w:ascii="宋体" w:hAnsi="宋体" w:eastAsia="宋体" w:cs="宋体"/>
      <w:b/>
      <w:color w:val="000000"/>
      <w:sz w:val="20"/>
      <w:szCs w:val="20"/>
      <w:u w:val="none"/>
    </w:rPr>
  </w:style>
  <w:style w:type="character" w:styleId="1095" w:customStyle="1">
    <w:name w:val="font01"/>
    <w:basedOn w:val="792"/>
    <w:uiPriority w:val="0"/>
    <w:qFormat/>
    <w:rPr>
      <w:rFonts w:hint="eastAsia" w:ascii="宋体" w:hAnsi="宋体" w:eastAsia="宋体"/>
      <w:color w:val="000000"/>
      <w:sz w:val="24"/>
      <w:szCs w:val="24"/>
      <w:u w:val="none"/>
    </w:rPr>
  </w:style>
  <w:style w:type="character" w:styleId="1096" w:customStyle="1">
    <w:name w:val="批注文字 Char"/>
    <w:uiPriority w:val="99"/>
    <w:qFormat/>
    <w:rPr>
      <w:sz w:val="21"/>
      <w:szCs w:val="22"/>
    </w:rPr>
  </w:style>
  <w:style w:type="character" w:styleId="1097" w:customStyle="1">
    <w:name w:val="unnamed11"/>
    <w:uiPriority w:val="99"/>
    <w:qFormat/>
    <w:rPr>
      <w:rFonts w:hint="eastAsia" w:ascii="宋体" w:hAnsi="宋体" w:eastAsia="宋体"/>
      <w:sz w:val="21"/>
      <w:szCs w:val="21"/>
    </w:rPr>
  </w:style>
  <w:style w:type="character" w:styleId="1098" w:customStyle="1">
    <w:name w:val="font71"/>
    <w:uiPriority w:val="0"/>
    <w:qFormat/>
    <w:rPr>
      <w:rFonts w:hint="eastAsia" w:ascii="宋体" w:hAnsi="宋体" w:eastAsia="宋体" w:cs="宋体"/>
      <w:color w:val="000000"/>
      <w:sz w:val="20"/>
      <w:szCs w:val="20"/>
      <w:u w:val="none"/>
    </w:rPr>
  </w:style>
  <w:style w:type="character" w:styleId="1099" w:customStyle="1">
    <w:name w:val="Char Char8"/>
    <w:uiPriority w:val="0"/>
    <w:qFormat/>
    <w:rPr>
      <w:rFonts w:ascii="Calibri" w:hAnsi="Calibri" w:eastAsia="宋体" w:cs="Times New Roman"/>
      <w:b/>
      <w:bCs/>
      <w:sz w:val="28"/>
      <w:szCs w:val="28"/>
    </w:rPr>
  </w:style>
  <w:style w:type="character" w:styleId="1100" w:customStyle="1">
    <w:name w:val="Char Char11"/>
    <w:uiPriority w:val="0"/>
    <w:qFormat/>
    <w:rPr>
      <w:rFonts w:ascii="Arial" w:hAnsi="Arial" w:eastAsia="宋体" w:cs="Times New Roman"/>
      <w:b/>
      <w:bCs/>
      <w:sz w:val="28"/>
      <w:szCs w:val="36"/>
    </w:rPr>
  </w:style>
  <w:style w:type="character" w:styleId="1101" w:customStyle="1">
    <w:name w:val="Char Char12"/>
    <w:uiPriority w:val="0"/>
    <w:qFormat/>
    <w:rPr>
      <w:b/>
      <w:bCs/>
      <w:sz w:val="44"/>
      <w:szCs w:val="44"/>
    </w:rPr>
  </w:style>
  <w:style w:type="character" w:styleId="1102" w:customStyle="1">
    <w:name w:val="font111"/>
    <w:uiPriority w:val="0"/>
    <w:qFormat/>
    <w:rPr>
      <w:rFonts w:hint="eastAsia" w:ascii="宋体" w:hAnsi="宋体" w:eastAsia="宋体" w:cs="宋体"/>
      <w:color w:val="ff0000"/>
      <w:sz w:val="18"/>
      <w:szCs w:val="18"/>
      <w:u w:val="none"/>
    </w:rPr>
  </w:style>
  <w:style w:type="character" w:styleId="1103" w:customStyle="1">
    <w:name w:val="font21"/>
    <w:basedOn w:val="792"/>
    <w:uiPriority w:val="0"/>
    <w:qFormat/>
    <w:rPr>
      <w:rFonts w:hint="eastAsia" w:ascii="仿宋_GB2312" w:hAnsi="Times New Roman" w:eastAsia="仿宋_GB2312" w:cs="仿宋_GB2312"/>
      <w:color w:val="000000"/>
      <w:sz w:val="22"/>
      <w:szCs w:val="22"/>
      <w:u w:val="none"/>
    </w:rPr>
  </w:style>
  <w:style w:type="character" w:styleId="1104" w:customStyle="1">
    <w:name w:val="无间隔 Char"/>
    <w:link w:val="1105"/>
    <w:uiPriority w:val="0"/>
    <w:qFormat/>
    <w:rPr>
      <w:sz w:val="21"/>
      <w:szCs w:val="22"/>
      <w:lang w:val="en-US" w:eastAsia="zh-CN" w:bidi="ar-SA"/>
    </w:rPr>
  </w:style>
  <w:style w:type="paragraph" w:styleId="1105" w:customStyle="1">
    <w:name w:val="msonospacing"/>
    <w:link w:val="110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6" w:customStyle="1">
    <w:name w:val="font211"/>
    <w:uiPriority w:val="0"/>
    <w:qFormat/>
    <w:rPr>
      <w:rFonts w:hint="eastAsia" w:ascii="宋体" w:hAnsi="宋体" w:eastAsia="宋体" w:cs="宋体"/>
      <w:color w:val="ff0000"/>
      <w:sz w:val="20"/>
      <w:szCs w:val="20"/>
      <w:u w:val="none"/>
      <w:vertAlign w:val="superscript"/>
    </w:rPr>
  </w:style>
  <w:style w:type="character" w:styleId="1107" w:customStyle="1">
    <w:name w:val="NormalCharacter"/>
    <w:uiPriority w:val="0"/>
    <w:qFormat/>
    <w:rPr>
      <w:sz w:val="21"/>
      <w:szCs w:val="22"/>
      <w:lang w:val="en-US" w:eastAsia="zh-CN" w:bidi="ar-SA"/>
    </w:rPr>
  </w:style>
  <w:style w:type="character" w:styleId="1108" w:customStyle="1">
    <w:name w:val="font171"/>
    <w:uiPriority w:val="0"/>
    <w:qFormat/>
    <w:rPr>
      <w:rFonts w:hint="eastAsia" w:ascii="宋体" w:hAnsi="宋体" w:eastAsia="宋体" w:cs="宋体"/>
      <w:color w:val="000000"/>
      <w:sz w:val="20"/>
      <w:szCs w:val="20"/>
      <w:u w:val="none"/>
    </w:rPr>
  </w:style>
  <w:style w:type="character" w:styleId="1109" w:customStyle="1">
    <w:name w:val="项目排列 Char"/>
    <w:link w:val="1110"/>
    <w:uiPriority w:val="0"/>
    <w:qFormat/>
    <w:rPr>
      <w:sz w:val="24"/>
      <w:szCs w:val="24"/>
    </w:rPr>
  </w:style>
  <w:style w:type="paragraph" w:styleId="1110" w:customStyle="1">
    <w:name w:val="项目排列"/>
    <w:basedOn w:val="782"/>
    <w:link w:val="1109"/>
    <w:uiPriority w:val="0"/>
    <w:qFormat/>
    <w:pPr>
      <w:numPr>
        <w:ilvl w:val="0"/>
        <w:numId w:val="4"/>
      </w:numPr>
      <w:spacing w:before="156" w:after="156" w:line="300" w:lineRule="auto"/>
      <w:tabs>
        <w:tab w:val="left" w:pos="900" w:leader="none"/>
      </w:tabs>
    </w:pPr>
    <w:rPr>
      <w:sz w:val="24"/>
      <w:szCs w:val="24"/>
    </w:rPr>
  </w:style>
  <w:style w:type="character" w:styleId="1111" w:customStyle="1">
    <w:name w:val="hover4"/>
    <w:uiPriority w:val="0"/>
    <w:qFormat/>
    <w:rPr>
      <w:color w:val="999999"/>
    </w:rPr>
  </w:style>
  <w:style w:type="character" w:styleId="1112" w:customStyle="1">
    <w:name w:val="font91"/>
    <w:uiPriority w:val="0"/>
    <w:qFormat/>
    <w:rPr>
      <w:rFonts w:hint="eastAsia" w:ascii="宋体" w:hAnsi="宋体" w:eastAsia="宋体" w:cs="宋体"/>
      <w:color w:val="000000"/>
      <w:sz w:val="16"/>
      <w:szCs w:val="16"/>
      <w:u w:val="none"/>
    </w:rPr>
  </w:style>
  <w:style w:type="paragraph" w:styleId="1113" w:customStyle="1">
    <w:name w:val="Char"/>
    <w:basedOn w:val="782"/>
    <w:uiPriority w:val="0"/>
    <w:qFormat/>
    <w:pPr>
      <w:ind w:left="1350" w:hanging="1350"/>
      <w:tabs>
        <w:tab w:val="left" w:pos="1350" w:leader="none"/>
      </w:tabs>
    </w:pPr>
    <w:rPr>
      <w:sz w:val="24"/>
      <w:szCs w:val="24"/>
    </w:rPr>
  </w:style>
  <w:style w:type="paragraph" w:styleId="1114" w:customStyle="1">
    <w:name w:val="正文 1.1.1"/>
    <w:basedOn w:val="782"/>
    <w:next w:val="782"/>
    <w:uiPriority w:val="0"/>
    <w:qFormat/>
    <w:pPr>
      <w:numPr>
        <w:ilvl w:val="2"/>
        <w:numId w:val="5"/>
      </w:numPr>
      <w:outlineLvl w:val="2"/>
    </w:pPr>
    <w:rPr>
      <w:rFonts w:hAnsi="宋体"/>
      <w:color w:val="ff0000"/>
    </w:rPr>
  </w:style>
  <w:style w:type="paragraph" w:styleId="1115" w:customStyle="1">
    <w:name w:val="Default Paragraph Font Para Char"/>
    <w:basedOn w:val="782"/>
    <w:uiPriority w:val="0"/>
    <w:qFormat/>
    <w:pPr>
      <w:jc w:val="left"/>
      <w:spacing w:before="156" w:after="160" w:line="240" w:lineRule="exact"/>
      <w:widowControl/>
    </w:pPr>
    <w:rPr>
      <w:rFonts w:ascii="Verdana" w:hAnsi="Verdana"/>
      <w:sz w:val="20"/>
      <w:szCs w:val="20"/>
      <w:lang w:eastAsia="en-US"/>
    </w:rPr>
  </w:style>
  <w:style w:type="paragraph" w:styleId="1116" w:customStyle="1">
    <w:name w:val="unnamed1"/>
    <w:basedOn w:val="782"/>
    <w:uiPriority w:val="0"/>
    <w:qFormat/>
    <w:pPr>
      <w:jc w:val="left"/>
      <w:spacing w:before="100" w:beforeAutospacing="1" w:after="100" w:afterAutospacing="1" w:line="288" w:lineRule="auto"/>
      <w:widowControl/>
    </w:pPr>
    <w:rPr>
      <w:rFonts w:hint="eastAsia" w:ascii="宋体" w:hAnsi="宋体"/>
      <w:szCs w:val="21"/>
    </w:rPr>
  </w:style>
  <w:style w:type="paragraph" w:styleId="1117" w:customStyle="1">
    <w:name w:val="正文缩进1"/>
    <w:basedOn w:val="782"/>
    <w:uiPriority w:val="0"/>
    <w:qFormat/>
    <w:pPr>
      <w:ind w:firstLine="420"/>
      <w:jc w:val="left"/>
      <w:spacing w:line="360" w:lineRule="auto"/>
      <w:widowControl/>
    </w:pPr>
    <w:rPr>
      <w:rFonts w:ascii="宋体"/>
      <w:sz w:val="20"/>
      <w:szCs w:val="20"/>
    </w:rPr>
  </w:style>
  <w:style w:type="paragraph" w:styleId="1118" w:customStyle="1">
    <w:name w:val="Char1"/>
    <w:basedOn w:val="782"/>
    <w:uiPriority w:val="0"/>
    <w:qFormat/>
    <w:rPr>
      <w:rFonts w:ascii="仿宋_GB2312" w:eastAsia="仿宋_GB2312"/>
      <w:b/>
      <w:sz w:val="32"/>
      <w:szCs w:val="32"/>
    </w:rPr>
  </w:style>
  <w:style w:type="paragraph" w:styleId="1119" w:customStyle="1">
    <w:name w:val="文档正文"/>
    <w:basedOn w:val="782"/>
    <w:uiPriority w:val="0"/>
    <w:qFormat/>
    <w:pPr>
      <w:ind w:firstLine="567"/>
      <w:spacing w:line="480" w:lineRule="atLeast"/>
    </w:pPr>
    <w:rPr>
      <w:rFonts w:ascii="仿宋_GB2312" w:eastAsia="仿宋_GB2312"/>
      <w:sz w:val="28"/>
      <w:szCs w:val="24"/>
    </w:rPr>
  </w:style>
  <w:style w:type="paragraph" w:styleId="1120" w:customStyle="1">
    <w:name w:val="二级目录"/>
    <w:next w:val="78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21" w:customStyle="1">
    <w:name w:val="List Paragraph1"/>
    <w:basedOn w:val="782"/>
    <w:uiPriority w:val="0"/>
    <w:qFormat/>
    <w:pPr>
      <w:ind w:firstLine="420"/>
    </w:pPr>
    <w:rPr>
      <w:szCs w:val="20"/>
    </w:rPr>
  </w:style>
  <w:style w:type="paragraph" w:styleId="1122" w:customStyle="1">
    <w:name w:val="_Style 2"/>
    <w:basedOn w:val="782"/>
    <w:uiPriority w:val="34"/>
    <w:qFormat/>
    <w:pPr>
      <w:ind w:firstLine="420"/>
    </w:pPr>
    <w:rPr>
      <w:szCs w:val="24"/>
    </w:rPr>
  </w:style>
  <w:style w:type="paragraph" w:styleId="112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24" w:customStyle="1">
    <w:name w:val="文档标题"/>
    <w:basedOn w:val="782"/>
    <w:uiPriority w:val="0"/>
    <w:qFormat/>
    <w:pPr>
      <w:jc w:val="center"/>
      <w:spacing w:before="312" w:after="312" w:line="300" w:lineRule="auto"/>
    </w:pPr>
    <w:rPr>
      <w:rFonts w:ascii="Arial" w:hAnsi="Arial" w:eastAsia="黑体" w:cs="Arial"/>
      <w:b/>
      <w:sz w:val="48"/>
      <w:szCs w:val="32"/>
    </w:rPr>
  </w:style>
  <w:style w:type="paragraph" w:styleId="1125" w:customStyle="1">
    <w:name w:val="Char1 Char Char Char Char Char Char"/>
    <w:basedOn w:val="782"/>
    <w:uiPriority w:val="0"/>
    <w:qFormat/>
    <w:rPr>
      <w:szCs w:val="24"/>
    </w:rPr>
  </w:style>
  <w:style w:type="paragraph" w:styleId="1126" w:customStyle="1">
    <w:name w:val="Char Char Char Char Char Char Char"/>
    <w:basedOn w:val="797"/>
    <w:uiPriority w:val="0"/>
    <w:qFormat/>
    <w:pPr>
      <w:shd w:val="clear" w:color="auto" w:fill="000080"/>
    </w:pPr>
    <w:rPr>
      <w:rFonts w:ascii="Times New Roman"/>
      <w:sz w:val="21"/>
      <w:szCs w:val="20"/>
    </w:rPr>
  </w:style>
  <w:style w:type="paragraph" w:styleId="112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列表段落1"/>
    <w:basedOn w:val="782"/>
    <w:uiPriority w:val="34"/>
    <w:qFormat/>
    <w:pPr>
      <w:ind w:left="720"/>
    </w:pPr>
    <w:rPr>
      <w:szCs w:val="21"/>
    </w:rPr>
  </w:style>
  <w:style w:type="paragraph" w:styleId="1129" w:customStyle="1">
    <w:name w:val="普通正文"/>
    <w:basedOn w:val="1050"/>
    <w:uiPriority w:val="0"/>
    <w:qFormat/>
    <w:pPr>
      <w:jc w:val="left"/>
      <w:spacing w:before="120" w:after="120" w:line="360" w:lineRule="auto"/>
    </w:pPr>
    <w:rPr>
      <w:rFonts w:ascii="Arial" w:hAnsi="Arial" w:eastAsia="宋体"/>
      <w:szCs w:val="24"/>
    </w:rPr>
  </w:style>
  <w:style w:type="paragraph" w:styleId="1130" w:customStyle="1">
    <w:name w:val="正文 1.1"/>
    <w:basedOn w:val="782"/>
    <w:next w:val="1114"/>
    <w:uiPriority w:val="0"/>
    <w:qFormat/>
    <w:pPr>
      <w:numPr>
        <w:ilvl w:val="1"/>
        <w:numId w:val="5"/>
      </w:numPr>
      <w:ind w:firstLine="550"/>
      <w:outlineLvl w:val="1"/>
    </w:pPr>
    <w:rPr>
      <w:rFonts w:ascii="仿宋" w:hAnsi="仿宋"/>
      <w:b/>
    </w:rPr>
  </w:style>
  <w:style w:type="paragraph" w:styleId="1131" w:customStyle="1">
    <w:name w:val="Table Paragraph"/>
    <w:basedOn w:val="782"/>
    <w:uiPriority w:val="1"/>
    <w:qFormat/>
    <w:rPr>
      <w:rFonts w:ascii="Calibri" w:hAnsi="Calibri"/>
      <w:lang w:eastAsia="en-US"/>
    </w:rPr>
  </w:style>
  <w:style w:type="paragraph" w:styleId="113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CD 正文"/>
    <w:basedOn w:val="782"/>
    <w:uiPriority w:val="0"/>
    <w:qFormat/>
    <w:pPr>
      <w:jc w:val="left"/>
    </w:pPr>
    <w:rPr>
      <w:rFonts w:ascii="Arial" w:hAnsi="Arial" w:eastAsia="微软雅黑" w:cs="Arial"/>
      <w:szCs w:val="21"/>
    </w:rPr>
  </w:style>
  <w:style w:type="paragraph" w:styleId="1135"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36" w:customStyle="1">
    <w:name w:val="Char2"/>
    <w:basedOn w:val="782"/>
    <w:uiPriority w:val="0"/>
    <w:qFormat/>
    <w:pPr>
      <w:ind w:firstLine="200"/>
      <w:tabs>
        <w:tab w:val="left" w:pos="360" w:leader="none"/>
      </w:tabs>
    </w:pPr>
    <w:rPr>
      <w:sz w:val="28"/>
      <w:szCs w:val="30"/>
    </w:rPr>
  </w:style>
  <w:style w:type="paragraph" w:styleId="1137"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38" w:customStyle="1">
    <w:name w:val="p0"/>
    <w:basedOn w:val="782"/>
    <w:uiPriority w:val="0"/>
    <w:qFormat/>
    <w:pPr>
      <w:widowControl/>
    </w:pPr>
    <w:rPr>
      <w:szCs w:val="21"/>
    </w:rPr>
  </w:style>
  <w:style w:type="paragraph" w:styleId="1139" w:customStyle="1">
    <w:name w:val="msonormal"/>
    <w:basedOn w:val="782"/>
    <w:uiPriority w:val="0"/>
    <w:qFormat/>
    <w:pPr>
      <w:jc w:val="left"/>
      <w:spacing w:before="100" w:beforeAutospacing="1" w:after="100" w:afterAutospacing="1"/>
      <w:widowControl/>
    </w:pPr>
    <w:rPr>
      <w:rFonts w:ascii="宋体" w:hAnsi="宋体" w:cs="宋体"/>
      <w:sz w:val="24"/>
      <w:szCs w:val="24"/>
    </w:rPr>
  </w:style>
  <w:style w:type="paragraph" w:styleId="1140" w:customStyle="1">
    <w:name w:val="font5"/>
    <w:basedOn w:val="782"/>
    <w:uiPriority w:val="0"/>
    <w:qFormat/>
    <w:pPr>
      <w:jc w:val="left"/>
      <w:spacing w:before="100" w:beforeAutospacing="1" w:after="100" w:afterAutospacing="1"/>
      <w:widowControl/>
    </w:pPr>
    <w:rPr>
      <w:rFonts w:ascii="宋体" w:hAnsi="宋体" w:cs="宋体"/>
      <w:sz w:val="18"/>
      <w:szCs w:val="18"/>
    </w:rPr>
  </w:style>
  <w:style w:type="paragraph" w:styleId="1141" w:customStyle="1">
    <w:name w:val="font6"/>
    <w:basedOn w:val="782"/>
    <w:uiPriority w:val="0"/>
    <w:qFormat/>
    <w:pPr>
      <w:jc w:val="left"/>
      <w:spacing w:before="100" w:beforeAutospacing="1" w:after="100" w:afterAutospacing="1"/>
      <w:widowControl/>
    </w:pPr>
    <w:rPr>
      <w:rFonts w:ascii="Calibri" w:hAnsi="Calibri" w:cs="Calibri"/>
      <w:sz w:val="18"/>
      <w:szCs w:val="18"/>
    </w:rPr>
  </w:style>
  <w:style w:type="paragraph" w:styleId="1142" w:customStyle="1">
    <w:name w:val="xl84"/>
    <w:basedOn w:val="782"/>
    <w:uiPriority w:val="0"/>
    <w:qFormat/>
    <w:pPr>
      <w:jc w:val="left"/>
      <w:spacing w:before="100" w:beforeAutospacing="1" w:after="100" w:afterAutospacing="1"/>
      <w:widowControl/>
    </w:pPr>
    <w:rPr>
      <w:rFonts w:ascii="宋体" w:hAnsi="宋体" w:cs="宋体"/>
      <w:color w:val="000000"/>
      <w:sz w:val="24"/>
      <w:szCs w:val="24"/>
    </w:rPr>
  </w:style>
  <w:style w:type="paragraph" w:styleId="1143" w:customStyle="1">
    <w:name w:val="xl85"/>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86"/>
    <w:basedOn w:val="782"/>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8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6" w:customStyle="1">
    <w:name w:val="xl8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7" w:customStyle="1">
    <w:name w:val="xl89"/>
    <w:basedOn w:val="782"/>
    <w:uiPriority w:val="0"/>
    <w:qFormat/>
    <w:pPr>
      <w:jc w:val="left"/>
      <w:spacing w:before="100" w:beforeAutospacing="1" w:after="100" w:afterAutospacing="1"/>
      <w:widowControl/>
    </w:pPr>
    <w:rPr>
      <w:rFonts w:ascii="宋体" w:hAnsi="宋体" w:cs="宋体"/>
      <w:sz w:val="24"/>
      <w:szCs w:val="24"/>
    </w:rPr>
  </w:style>
  <w:style w:type="paragraph" w:styleId="1148" w:customStyle="1">
    <w:name w:val="xl9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9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9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9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9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9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4" w:customStyle="1">
    <w:name w:val="xl9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9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9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xl9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0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9" w:customStyle="1">
    <w:name w:val="xl10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0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10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2" w:customStyle="1">
    <w:name w:val="xl10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0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0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0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0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1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1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1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1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15"/>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6"/>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7"/>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11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119"/>
    <w:basedOn w:val="782"/>
    <w:uiPriority w:val="0"/>
    <w:qFormat/>
    <w:pPr>
      <w:jc w:val="center"/>
      <w:spacing w:before="100" w:beforeAutospacing="1" w:after="100" w:afterAutospacing="1"/>
      <w:widowControl/>
    </w:pPr>
    <w:rPr>
      <w:rFonts w:ascii="宋体" w:hAnsi="宋体" w:cs="宋体"/>
      <w:sz w:val="24"/>
      <w:szCs w:val="24"/>
    </w:rPr>
  </w:style>
  <w:style w:type="paragraph" w:styleId="1177" w:customStyle="1">
    <w:name w:val="xl120"/>
    <w:basedOn w:val="782"/>
    <w:uiPriority w:val="0"/>
    <w:qFormat/>
    <w:pPr>
      <w:jc w:val="center"/>
      <w:spacing w:before="100" w:beforeAutospacing="1" w:after="100" w:afterAutospacing="1"/>
      <w:widowControl/>
    </w:pPr>
    <w:rPr>
      <w:rFonts w:ascii="宋体" w:hAnsi="宋体" w:cs="宋体"/>
      <w:sz w:val="24"/>
      <w:szCs w:val="24"/>
    </w:rPr>
  </w:style>
  <w:style w:type="paragraph" w:styleId="1178" w:customStyle="1">
    <w:name w:val="xl12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9" w:customStyle="1">
    <w:name w:val="xl12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12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1" w:customStyle="1">
    <w:name w:val="xl124"/>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2" w:customStyle="1">
    <w:name w:val="xl125"/>
    <w:basedOn w:val="78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3" w:customStyle="1">
    <w:name w:val="xl126"/>
    <w:basedOn w:val="7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xl11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27"/>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xl128"/>
    <w:basedOn w:val="78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87" w:customStyle="1">
    <w:name w:val="xl129"/>
    <w:basedOn w:val="78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88" w:customStyle="1">
    <w:name w:val="xl130"/>
    <w:basedOn w:val="78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89" w:customStyle="1">
    <w:name w:val="xl13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0" w:customStyle="1">
    <w:name w:val="xl132"/>
    <w:basedOn w:val="78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1" w:customStyle="1">
    <w:name w:val="xl133"/>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2" w:customStyle="1">
    <w:name w:val="xl134"/>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3" w:customStyle="1">
    <w:name w:val="xl135"/>
    <w:basedOn w:val="78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4" w:customStyle="1">
    <w:name w:val="xl136"/>
    <w:basedOn w:val="7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3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6" w:customStyle="1">
    <w:name w:val="_Style 227"/>
    <w:uiPriority w:val="99"/>
    <w:semiHidden/>
    <w:qFormat/>
    <w:rPr>
      <w:rFonts w:hint="default" w:ascii="等线" w:hAnsi="等线" w:eastAsia="等线" w:cs="Times New Roman"/>
      <w:sz w:val="21"/>
      <w:szCs w:val="22"/>
      <w:lang w:val="en-US" w:eastAsia="zh-CN" w:bidi="ar-SA"/>
    </w:rPr>
  </w:style>
  <w:style w:type="paragraph" w:styleId="1197" w:customStyle="1">
    <w:name w:val="正文_0"/>
    <w:next w:val="782"/>
    <w:uiPriority w:val="3"/>
    <w:qFormat/>
    <w:pPr>
      <w:jc w:val="both"/>
      <w:widowControl w:val="off"/>
    </w:pPr>
    <w:rPr>
      <w:rFonts w:hint="default" w:ascii="Calibri" w:hAnsi="Calibri" w:eastAsia="宋体" w:cs="Times New Roman"/>
      <w:sz w:val="21"/>
      <w:lang w:val="en-US" w:eastAsia="zh-CN" w:bidi="ar-SA"/>
    </w:rPr>
  </w:style>
  <w:style w:type="paragraph" w:styleId="1198" w:customStyle="1">
    <w:name w:val="Char Char Char Char Char Char Char1 Char"/>
    <w:basedOn w:val="782"/>
    <w:uiPriority w:val="0"/>
    <w:qFormat/>
    <w:rPr>
      <w:rFonts w:ascii="Tahoma" w:hAnsi="Tahoma"/>
      <w:sz w:val="24"/>
      <w:szCs w:val="24"/>
    </w:rPr>
  </w:style>
  <w:style w:type="paragraph" w:styleId="1199" w:customStyle="1">
    <w:name w:val="TOC 11"/>
    <w:basedOn w:val="782"/>
    <w:next w:val="782"/>
    <w:uiPriority w:val="0"/>
    <w:qFormat/>
  </w:style>
  <w:style w:type="paragraph" w:styleId="1200" w:customStyle="1">
    <w:name w:val="标题 71"/>
    <w:basedOn w:val="782"/>
    <w:next w:val="782"/>
    <w:link w:val="1201"/>
    <w:uiPriority w:val="9"/>
    <w:unhideWhenUsed/>
    <w:qFormat/>
    <w:pPr>
      <w:keepLines/>
      <w:keepNext/>
      <w:spacing w:before="320" w:after="200"/>
      <w:outlineLvl w:val="6"/>
    </w:pPr>
    <w:rPr>
      <w:rFonts w:ascii="Arial" w:hAnsi="Arial" w:eastAsia="Arial"/>
      <w:b/>
      <w:bCs/>
      <w:i/>
      <w:iCs/>
      <w:sz w:val="22"/>
    </w:rPr>
  </w:style>
  <w:style w:type="character" w:styleId="1201" w:customStyle="1">
    <w:name w:val="Heading 7 Char"/>
    <w:link w:val="1200"/>
    <w:uiPriority w:val="9"/>
    <w:qFormat/>
    <w:rPr>
      <w:rFonts w:ascii="Arial" w:hAnsi="Arial" w:eastAsia="Arial" w:cs="Arial"/>
      <w:b/>
      <w:bCs/>
      <w:i/>
      <w:iCs/>
      <w:sz w:val="22"/>
      <w:szCs w:val="22"/>
    </w:rPr>
  </w:style>
  <w:style w:type="paragraph" w:styleId="1202" w:customStyle="1">
    <w:name w:val="正文文本缩进1"/>
    <w:basedOn w:val="782"/>
    <w:next w:val="782"/>
    <w:uiPriority w:val="99"/>
    <w:unhideWhenUsed/>
    <w:qFormat/>
    <w:pPr>
      <w:ind w:firstLine="540"/>
      <w:spacing w:line="400" w:lineRule="exact"/>
    </w:pPr>
    <w:rPr>
      <w:sz w:val="24"/>
    </w:rPr>
  </w:style>
  <w:style w:type="character" w:styleId="1203" w:customStyle="1">
    <w:name w:val="font31"/>
    <w:basedOn w:val="792"/>
    <w:uiPriority w:val="0"/>
    <w:qFormat/>
    <w:rPr>
      <w:rFonts w:hint="eastAsia" w:ascii="宋体" w:hAnsi="宋体" w:eastAsia="宋体" w:cs="宋体"/>
      <w:color w:val="000000"/>
      <w:sz w:val="24"/>
      <w:szCs w:val="24"/>
      <w:u w:val="none"/>
      <w:vertAlign w:val="superscript"/>
    </w:rPr>
  </w:style>
  <w:style w:type="paragraph" w:styleId="1204" w:customStyle="1">
    <w:name w:val="正文文本11"/>
    <w:basedOn w:val="782"/>
    <w:next w:val="782"/>
    <w:uiPriority w:val="0"/>
    <w:qFormat/>
    <w:rPr>
      <w:rFonts w:ascii="楷体_GB2312" w:hAnsi="Arial" w:eastAsia="楷体_GB2312"/>
      <w:sz w:val="28"/>
      <w:szCs w:val="28"/>
    </w:rPr>
  </w:style>
  <w:style w:type="paragraph" w:styleId="1205" w:customStyle="1">
    <w:name w:val="Table Text"/>
    <w:basedOn w:val="782"/>
    <w:uiPriority w:val="0"/>
    <w:semiHidden/>
    <w:qFormat/>
    <w:rPr>
      <w:rFonts w:ascii="宋体" w:hAnsi="宋体" w:eastAsia="宋体" w:cs="宋体"/>
      <w:sz w:val="18"/>
      <w:szCs w:val="18"/>
      <w:lang w:val="en-US" w:eastAsia="en-US" w:bidi="ar-SA"/>
    </w:rPr>
  </w:style>
  <w:style w:type="table" w:styleId="1206" w:customStyle="1">
    <w:name w:val="Table Normal"/>
    <w:uiPriority w:val="0"/>
    <w:semiHidden/>
    <w:unhideWhenUsed/>
    <w:qFormat/>
    <w:tblPr>
      <w:tblCellMar>
        <w:left w:w="0" w:type="dxa"/>
        <w:top w:w="0" w:type="dxa"/>
        <w:right w:w="0" w:type="dxa"/>
        <w:bottom w:w="0" w:type="dxa"/>
      </w:tblCellMar>
    </w:tblPr>
  </w:style>
  <w:style w:type="paragraph" w:styleId="1207" w:customStyle="1">
    <w:name w:val="首行缩进"/>
    <w:basedOn w:val="782"/>
    <w:uiPriority w:val="0"/>
    <w:qFormat/>
    <w:pPr>
      <w:ind w:firstLine="420"/>
      <w:spacing w:line="360" w:lineRule="auto"/>
    </w:pPr>
  </w:style>
  <w:style w:type="character" w:styleId="1208" w:customStyle="1">
    <w:name w:val="A13"/>
    <w:uiPriority w:val="99"/>
    <w:qFormat/>
    <w:rPr>
      <w:rFonts w:cs="......."/>
      <w:color w:val="000000"/>
      <w:sz w:val="11"/>
      <w:szCs w:val="11"/>
    </w:rPr>
  </w:style>
  <w:style w:type="paragraph" w:styleId="1209" w:customStyle="1">
    <w:name w:val="页脚1"/>
    <w:basedOn w:val="782"/>
    <w:uiPriority w:val="0"/>
    <w:qFormat/>
    <w:pPr>
      <w:jc w:val="left"/>
      <w:tabs>
        <w:tab w:val="center" w:pos="4153" w:leader="none"/>
        <w:tab w:val="right" w:pos="8306" w:leader="none"/>
      </w:tabs>
    </w:pPr>
    <w:rPr>
      <w:rFonts w:eastAsia="宋体"/>
      <w:sz w:val="18"/>
      <w:szCs w:val="18"/>
    </w:rPr>
  </w:style>
  <w:style w:type="character" w:styleId="1210" w:customStyle="1">
    <w:name w:val="页码1"/>
    <w:basedOn w:val="1211"/>
    <w:uiPriority w:val="0"/>
    <w:qFormat/>
    <w:rPr>
      <w:rFonts w:ascii="Times New Roman" w:hAnsi="Times New Roman" w:eastAsia="宋体" w:cs="Times New Roman"/>
    </w:rPr>
  </w:style>
  <w:style w:type="character" w:styleId="1211" w:customStyle="1">
    <w:name w:val="默认段落字体1"/>
    <w:uiPriority w:val="0"/>
    <w:qFormat/>
    <w:rPr>
      <w:rFonts w:ascii="Times New Roman" w:hAnsi="Times New Roman" w:eastAsia="宋体" w:cs="Times New Roman"/>
    </w:rPr>
  </w:style>
  <w:style w:type="numbering" w:styleId="127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18</cp:revision>
  <dcterms:created xsi:type="dcterms:W3CDTF">2024-10-14T08:05:00Z</dcterms:created>
  <dcterms:modified xsi:type="dcterms:W3CDTF">2026-04-21T07:19:37Z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A617CA5CBE0848CFAE02A8DA601171C0_13</vt:lpwstr>
  </property>
  <property fmtid="{D5CDD505-2E9C-101B-9397-08002B2CF9AE}" pid="4" name="KSOTemplateDocerSaveRecord">
    <vt:lpwstr>eyJoZGlkIjoiZTVkNzQ3OWEyMTdhMmNjZTE0YWI3MmE4NDZlMmFlODAiLCJ1c2VySWQiOiI0MTk2MzY1OTUifQ==</vt:lpwstr>
  </property>
</Properties>
</file>